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lgs-client-onboarding-kit</w:t>
      </w:r>
    </w:p>
    <w:p>
      <w:pPr>
        <w:spacing w:after="40"/>
      </w:pPr>
      <w:r>
        <w:rPr>
          <w:rFonts w:ascii="Georgia" w:hAnsi="Georgia"/>
          <w:b/>
          <w:color w:val="13100E"/>
          <w:sz w:val="48"/>
        </w:rPr>
        <w:t>The Client Onboarding Kit</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The money has arrived. The first week is five things, and it is the half day you charged the setup fee for. Two of those five commit you to a rhythm for every month after, so the two documents that rhythm runs on are at the back of this kit.</w:t>
      </w:r>
    </w:p>
    <w:p>
      <w:pPr>
        <w:spacing w:before="200" w:after="80"/>
      </w:pPr>
      <w:r>
        <w:rPr>
          <w:rFonts w:ascii="Georgia" w:hAnsi="Georgia"/>
          <w:b/>
          <w:color w:val="FA8A11"/>
          <w:sz w:val="28"/>
        </w:rPr>
        <w:t>The first week, in order</w:t>
      </w:r>
    </w:p>
    <w:p>
      <w:pPr>
        <w:spacing w:after="60"/>
        <w:ind w:left="259"/>
      </w:pPr>
      <w:r>
        <w:rPr>
          <w:rFonts w:ascii="Consolas" w:hAnsi="Consolas"/>
          <w:color w:val="FA8A11"/>
          <w:sz w:val="22"/>
        </w:rPr>
        <w:t xml:space="preserve">[  ]  </w:t>
      </w:r>
      <w:r>
        <w:rPr>
          <w:rFonts w:ascii="Calibri" w:hAnsi="Calibri"/>
          <w:color w:val="2C2925"/>
          <w:sz w:val="22"/>
        </w:rPr>
        <w:t>One. Book the intake, or send the questionnaire. This is the only thing in the week with a deadline.</w:t>
      </w:r>
    </w:p>
    <w:p>
      <w:pPr>
        <w:spacing w:after="60"/>
        <w:ind w:left="259"/>
      </w:pPr>
      <w:r>
        <w:rPr>
          <w:rFonts w:ascii="Consolas" w:hAnsi="Consolas"/>
          <w:color w:val="FA8A11"/>
          <w:sz w:val="22"/>
        </w:rPr>
        <w:t xml:space="preserve">[  ]  </w:t>
      </w:r>
      <w:r>
        <w:rPr>
          <w:rFonts w:ascii="Calibri" w:hAnsi="Calibri"/>
          <w:color w:val="2C2925"/>
          <w:sz w:val="22"/>
        </w:rPr>
        <w:t>Two. Ask for their analytics export once, here, rather than every month.</w:t>
      </w:r>
    </w:p>
    <w:p>
      <w:pPr>
        <w:spacing w:after="60"/>
        <w:ind w:left="259"/>
      </w:pPr>
      <w:r>
        <w:rPr>
          <w:rFonts w:ascii="Consolas" w:hAnsi="Consolas"/>
          <w:color w:val="FA8A11"/>
          <w:sz w:val="22"/>
        </w:rPr>
        <w:t xml:space="preserve">[  ]  </w:t>
      </w:r>
      <w:r>
        <w:rPr>
          <w:rFonts w:ascii="Calibri" w:hAnsi="Calibri"/>
          <w:color w:val="2C2925"/>
          <w:sz w:val="22"/>
        </w:rPr>
        <w:t>Three. Agree the approval rhythm in writing.</w:t>
      </w:r>
    </w:p>
    <w:p>
      <w:pPr>
        <w:spacing w:after="60"/>
        <w:ind w:left="259"/>
      </w:pPr>
      <w:r>
        <w:rPr>
          <w:rFonts w:ascii="Consolas" w:hAnsi="Consolas"/>
          <w:color w:val="FA8A11"/>
          <w:sz w:val="22"/>
        </w:rPr>
        <w:t xml:space="preserve">[  ]  </w:t>
      </w:r>
      <w:r>
        <w:rPr>
          <w:rFonts w:ascii="Calibri" w:hAnsi="Calibri"/>
          <w:color w:val="2C2925"/>
          <w:sz w:val="22"/>
        </w:rPr>
        <w:t>Four. Write the voice brief and get it corrected.</w:t>
      </w:r>
    </w:p>
    <w:p>
      <w:pPr>
        <w:spacing w:after="60"/>
        <w:ind w:left="259"/>
      </w:pPr>
      <w:r>
        <w:rPr>
          <w:rFonts w:ascii="Consolas" w:hAnsi="Consolas"/>
          <w:color w:val="FA8A11"/>
          <w:sz w:val="22"/>
        </w:rPr>
        <w:t xml:space="preserve">[  ]  </w:t>
      </w:r>
      <w:r>
        <w:rPr>
          <w:rFonts w:ascii="Calibri" w:hAnsi="Calibri"/>
          <w:color w:val="2C2925"/>
          <w:sz w:val="22"/>
        </w:rPr>
        <w:t>Five. Rewrite their profile.</w:t>
      </w:r>
    </w:p>
    <w:p>
      <w:pPr>
        <w:spacing w:before="200" w:after="80"/>
      </w:pPr>
      <w:r>
        <w:rPr>
          <w:rFonts w:ascii="Georgia" w:hAnsi="Georgia"/>
          <w:b/>
          <w:color w:val="FA8A11"/>
          <w:sz w:val="28"/>
        </w:rPr>
        <w:t>The welcome email, written out</w:t>
      </w:r>
    </w:p>
    <w:p>
      <w:pPr>
        <w:spacing w:after="0"/>
        <w:ind w:left="259"/>
      </w:pPr>
      <w:r>
        <w:rPr>
          <w:rFonts w:ascii="Consolas" w:hAnsi="Consolas"/>
          <w:color w:val="2C2925"/>
          <w:sz w:val="20"/>
        </w:rPr>
        <w:t>Subject: Week one, and three small things from you</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Payment has come through, thank you. Here is exactly what happens</w:t>
      </w:r>
    </w:p>
    <w:p>
      <w:pPr>
        <w:spacing w:after="0"/>
        <w:ind w:left="259"/>
      </w:pPr>
      <w:r>
        <w:rPr>
          <w:rFonts w:ascii="Consolas" w:hAnsi="Consolas"/>
          <w:color w:val="2C2925"/>
          <w:sz w:val="20"/>
        </w:rPr>
        <w:t>now, and there are three things I need from you. None of them</w:t>
      </w:r>
    </w:p>
    <w:p>
      <w:pPr>
        <w:spacing w:after="0"/>
        <w:ind w:left="259"/>
      </w:pPr>
      <w:r>
        <w:rPr>
          <w:rFonts w:ascii="Consolas" w:hAnsi="Consolas"/>
          <w:color w:val="2C2925"/>
          <w:sz w:val="20"/>
        </w:rPr>
        <w:t>takes more than a few minutes.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1. The conversation. Forty five minutes, and you do not need to</w:t>
      </w:r>
    </w:p>
    <w:p>
      <w:pPr>
        <w:spacing w:after="0"/>
        <w:ind w:left="259"/>
      </w:pPr>
      <w:r>
        <w:rPr>
          <w:rFonts w:ascii="Consolas" w:hAnsi="Consolas"/>
          <w:color w:val="2C2925"/>
          <w:sz w:val="20"/>
        </w:rPr>
        <w:t xml:space="preserve">   prepare anything. I will ask six questions about your own work</w:t>
      </w:r>
    </w:p>
    <w:p>
      <w:pPr>
        <w:spacing w:after="0"/>
        <w:ind w:left="259"/>
      </w:pPr>
      <w:r>
        <w:rPr>
          <w:rFonts w:ascii="Consolas" w:hAnsi="Consolas"/>
          <w:color w:val="2C2925"/>
          <w:sz w:val="20"/>
        </w:rPr>
        <w:t xml:space="preserve">   and mostly listen. I would like to record it so I can work from</w:t>
      </w:r>
    </w:p>
    <w:p>
      <w:pPr>
        <w:spacing w:after="0"/>
        <w:ind w:left="259"/>
      </w:pPr>
      <w:r>
        <w:rPr>
          <w:rFonts w:ascii="Consolas" w:hAnsi="Consolas"/>
          <w:color w:val="2C2925"/>
          <w:sz w:val="20"/>
        </w:rPr>
        <w:t xml:space="preserve">   your exact words. Here are some times: [times].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2. Your analytics export. On the first of each month I need the</w:t>
      </w:r>
    </w:p>
    <w:p>
      <w:pPr>
        <w:spacing w:after="0"/>
        <w:ind w:left="259"/>
      </w:pPr>
      <w:r>
        <w:rPr>
          <w:rFonts w:ascii="Consolas" w:hAnsi="Consolas"/>
          <w:color w:val="2C2925"/>
          <w:sz w:val="20"/>
        </w:rPr>
        <w:t xml:space="preserve">   export from your post analytics. It takes two minutes and</w:t>
      </w:r>
    </w:p>
    <w:p>
      <w:pPr>
        <w:spacing w:after="0"/>
        <w:ind w:left="259"/>
      </w:pPr>
      <w:r>
        <w:rPr>
          <w:rFonts w:ascii="Consolas" w:hAnsi="Consolas"/>
          <w:color w:val="2C2925"/>
          <w:sz w:val="20"/>
        </w:rPr>
        <w:t xml:space="preserve">   without it I cannot show you what worked. Screenshot attached</w:t>
      </w:r>
    </w:p>
    <w:p>
      <w:pPr>
        <w:spacing w:after="0"/>
        <w:ind w:left="259"/>
      </w:pPr>
      <w:r>
        <w:rPr>
          <w:rFonts w:ascii="Consolas" w:hAnsi="Consolas"/>
          <w:color w:val="2C2925"/>
          <w:sz w:val="20"/>
        </w:rPr>
        <w:t xml:space="preserve">   showing exactly where the button is. I am asking once, now,</w:t>
      </w:r>
    </w:p>
    <w:p>
      <w:pPr>
        <w:spacing w:after="0"/>
        <w:ind w:left="259"/>
      </w:pPr>
      <w:r>
        <w:rPr>
          <w:rFonts w:ascii="Consolas" w:hAnsi="Consolas"/>
          <w:color w:val="2C2925"/>
          <w:sz w:val="20"/>
        </w:rPr>
        <w:t xml:space="preserve">   rather than chasing you every month.</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3. Three or four things you have already written that you were</w:t>
      </w:r>
    </w:p>
    <w:p>
      <w:pPr>
        <w:spacing w:after="0"/>
        <w:ind w:left="259"/>
      </w:pPr>
      <w:r>
        <w:rPr>
          <w:rFonts w:ascii="Consolas" w:hAnsi="Consolas"/>
          <w:color w:val="2C2925"/>
          <w:sz w:val="20"/>
        </w:rPr>
        <w:t xml:space="preserve">   pleased with. An old post, a newsletter, a talk, even a long</w:t>
      </w:r>
    </w:p>
    <w:p>
      <w:pPr>
        <w:spacing w:after="0"/>
        <w:ind w:left="259"/>
      </w:pPr>
      <w:r>
        <w:rPr>
          <w:rFonts w:ascii="Consolas" w:hAnsi="Consolas"/>
          <w:color w:val="2C2925"/>
          <w:sz w:val="20"/>
        </w:rPr>
        <w:t xml:space="preserve">   email explaining something to a client. I am reading them for</w:t>
      </w:r>
    </w:p>
    <w:p>
      <w:pPr>
        <w:spacing w:after="0"/>
        <w:ind w:left="259"/>
      </w:pPr>
      <w:r>
        <w:rPr>
          <w:rFonts w:ascii="Consolas" w:hAnsi="Consolas"/>
          <w:color w:val="2C2925"/>
          <w:sz w:val="20"/>
        </w:rPr>
        <w:t xml:space="preserve">   how you build a sentence, not judging them.</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After the conversation I will send you a short document describing</w:t>
      </w:r>
    </w:p>
    <w:p>
      <w:pPr>
        <w:spacing w:after="0"/>
        <w:ind w:left="259"/>
      </w:pPr>
      <w:r>
        <w:rPr>
          <w:rFonts w:ascii="Consolas" w:hAnsi="Consolas"/>
          <w:color w:val="2C2925"/>
          <w:sz w:val="20"/>
        </w:rPr>
        <w:t>how you sound. You correct it, and once it is right, nothing I</w:t>
      </w:r>
    </w:p>
    <w:p>
      <w:pPr>
        <w:spacing w:after="0"/>
        <w:ind w:left="259"/>
      </w:pPr>
      <w:r>
        <w:rPr>
          <w:rFonts w:ascii="Consolas" w:hAnsi="Consolas"/>
          <w:color w:val="2C2925"/>
          <w:sz w:val="20"/>
        </w:rPr>
        <w:t>send you should ever sound like somebody else.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Batch one will be with you by [date]. You will have [N] days to</w:t>
      </w:r>
    </w:p>
    <w:p>
      <w:pPr>
        <w:spacing w:after="160"/>
        <w:ind w:left="259"/>
      </w:pPr>
      <w:r>
        <w:rPr>
          <w:rFonts w:ascii="Consolas" w:hAnsi="Consolas"/>
          <w:color w:val="2C2925"/>
          <w:sz w:val="20"/>
        </w:rPr>
        <w:t>mark each post approve, approve with edits, or cut.</w:t>
      </w:r>
    </w:p>
    <w:p>
      <w:pPr>
        <w:spacing w:after="160"/>
        <w:ind w:left="648"/>
      </w:pPr>
      <w:r>
        <w:rPr>
          <w:rFonts w:ascii="Calibri" w:hAnsi="Calibri"/>
          <w:i/>
          <w:color w:val="FA8A11"/>
          <w:sz w:val="19"/>
        </w:rPr>
        <w:t>Send them the screenshot of where the export button is, rather than describing it. Asking once in week one is onboarding. Asking every month is nagging.</w:t>
      </w:r>
    </w:p>
    <w:p>
      <w:pPr>
        <w:spacing w:before="200" w:after="80"/>
      </w:pPr>
      <w:r>
        <w:rPr>
          <w:rFonts w:ascii="Georgia" w:hAnsi="Georgia"/>
          <w:b/>
          <w:color w:val="FA8A11"/>
          <w:sz w:val="28"/>
        </w:rPr>
        <w:t>The approval rhythm, agreed in writing</w:t>
      </w:r>
    </w:p>
    <w:p>
      <w:pPr>
        <w:spacing w:after="60"/>
      </w:pPr>
      <w:r>
        <w:rPr>
          <w:rFonts w:ascii="Calibri" w:hAnsi="Calibri"/>
          <w:b/>
          <w:color w:val="13100E"/>
          <w:sz w:val="22"/>
        </w:rPr>
        <w:t xml:space="preserve">Batch arrives on the  </w:t>
      </w:r>
      <w:r>
        <w:rPr>
          <w:rFonts w:ascii="Calibri" w:hAnsi="Calibri"/>
          <w:color w:val="8A7A6A"/>
          <w:sz w:val="22"/>
        </w:rPr>
        <w:t>________ of each month</w:t>
      </w:r>
    </w:p>
    <w:p>
      <w:pPr>
        <w:spacing w:after="60"/>
      </w:pPr>
      <w:r>
        <w:rPr>
          <w:rFonts w:ascii="Calibri" w:hAnsi="Calibri"/>
          <w:b/>
          <w:color w:val="13100E"/>
          <w:sz w:val="22"/>
        </w:rPr>
        <w:t xml:space="preserve">They have  </w:t>
      </w:r>
      <w:r>
        <w:rPr>
          <w:rFonts w:ascii="Calibri" w:hAnsi="Calibri"/>
          <w:color w:val="8A7A6A"/>
          <w:sz w:val="22"/>
        </w:rPr>
        <w:t>________ days to respond (ten is normal)</w:t>
      </w:r>
    </w:p>
    <w:p>
      <w:pPr>
        <w:spacing w:after="60"/>
      </w:pPr>
      <w:r>
        <w:rPr>
          <w:rFonts w:ascii="Calibri" w:hAnsi="Calibri"/>
          <w:b/>
          <w:color w:val="13100E"/>
          <w:sz w:val="22"/>
        </w:rPr>
        <w:t xml:space="preserve">The monthly input request goes out on the  </w:t>
      </w:r>
      <w:r>
        <w:rPr>
          <w:rFonts w:ascii="Calibri" w:hAnsi="Calibri"/>
          <w:color w:val="8A7A6A"/>
          <w:sz w:val="22"/>
        </w:rPr>
        <w:t>________ of each month</w:t>
      </w:r>
    </w:p>
    <w:p>
      <w:pPr>
        <w:spacing w:after="60"/>
      </w:pPr>
      <w:r>
        <w:rPr>
          <w:rFonts w:ascii="Calibri" w:hAnsi="Calibri"/>
          <w:b/>
          <w:color w:val="13100E"/>
          <w:sz w:val="22"/>
        </w:rPr>
        <w:t xml:space="preserve">If the window passes, unapproved posts  </w:t>
      </w:r>
      <w:r>
        <w:rPr>
          <w:rFonts w:ascii="Calibri" w:hAnsi="Calibri"/>
          <w:color w:val="8A7A6A"/>
          <w:sz w:val="22"/>
        </w:rPr>
        <w:t>go out as drafted  /  roll into next month</w:t>
      </w:r>
    </w:p>
    <w:p>
      <w:pPr>
        <w:spacing w:after="120"/>
      </w:pPr>
      <w:r>
        <w:rPr>
          <w:rFonts w:ascii="Calibri" w:hAnsi="Calibri"/>
          <w:i w:val="0"/>
          <w:color w:val="2C2925"/>
          <w:sz w:val="22"/>
        </w:rPr>
        <w:t>Put that last choice in writing now, while nobody is under any pressure. It is the clause that does the work in month three, when you have sent eight posts and heard nothing for eleven days.</w:t>
      </w:r>
    </w:p>
    <w:p>
      <w:pPr>
        <w:spacing w:before="200" w:after="80"/>
      </w:pPr>
      <w:r>
        <w:rPr>
          <w:rFonts w:ascii="Georgia" w:hAnsi="Georgia"/>
          <w:b/>
          <w:color w:val="FA8A11"/>
          <w:sz w:val="28"/>
        </w:rPr>
        <w:t>Their profile, which is the part of the setup fee they can see</w:t>
      </w:r>
    </w:p>
    <w:p>
      <w:pPr>
        <w:spacing w:after="120"/>
      </w:pPr>
      <w:r>
        <w:rPr>
          <w:rFonts w:ascii="Calibri" w:hAnsi="Calibri"/>
          <w:i w:val="0"/>
          <w:color w:val="2C2925"/>
          <w:sz w:val="22"/>
        </w:rPr>
        <w:t>An hour of work, and it is the first thing every reader of every post is going to see after they click their name. Doing it before the first post goes out is the difference between sending traffic to a page that converts and sending it to one that does not.</w:t>
      </w:r>
    </w:p>
    <w:tbl>
      <w:tblPr>
        <w:tblStyle w:val="TableGrid"/>
        <w:tblW w:type="auto" w:w="0"/>
        <w:tblLayout w:type="fixed"/>
        <w:tblLook w:firstColumn="1" w:firstRow="1" w:lastColumn="0" w:lastRow="0" w:noHBand="0" w:noVBand="1" w:val="04A0"/>
      </w:tblPr>
      <w:tblGrid>
        <w:gridCol w:w="3213"/>
        <w:gridCol w:w="3213"/>
        <w:gridCol w:w="3213"/>
      </w:tblGrid>
      <w:tr>
        <w:tc>
          <w:tcPr>
            <w:tcW w:type="dxa" w:w="1872"/>
          </w:tcPr>
          <w:p>
            <w:r>
              <w:rPr>
                <w:rFonts w:ascii="Calibri" w:hAnsi="Calibri"/>
                <w:b/>
                <w:color w:val="FA8A11"/>
                <w:sz w:val="19"/>
              </w:rPr>
              <w:t>Field</w:t>
            </w:r>
          </w:p>
        </w:tc>
        <w:tc>
          <w:tcPr>
            <w:tcW w:type="dxa" w:w="4176"/>
          </w:tcPr>
          <w:p>
            <w:r>
              <w:rPr>
                <w:rFonts w:ascii="Calibri" w:hAnsi="Calibri"/>
                <w:b/>
                <w:color w:val="FA8A11"/>
                <w:sz w:val="19"/>
              </w:rPr>
              <w:t>What it should say now</w:t>
            </w:r>
          </w:p>
        </w:tc>
        <w:tc>
          <w:tcPr>
            <w:tcW w:type="dxa" w:w="3600"/>
          </w:tcPr>
          <w:p>
            <w:r>
              <w:rPr>
                <w:rFonts w:ascii="Calibri" w:hAnsi="Calibri"/>
                <w:b/>
                <w:color w:val="FA8A11"/>
                <w:sz w:val="19"/>
              </w:rPr>
              <w:t>What it probably says</w:t>
            </w:r>
          </w:p>
        </w:tc>
      </w:tr>
      <w:tr>
        <w:tc>
          <w:tcPr>
            <w:tcW w:type="dxa" w:w="1872"/>
          </w:tcPr>
          <w:p>
            <w:r>
              <w:rPr>
                <w:rFonts w:ascii="Calibri" w:hAnsi="Calibri"/>
                <w:color w:val="2C2925"/>
                <w:sz w:val="19"/>
              </w:rPr>
              <w:t>Headline</w:t>
            </w:r>
          </w:p>
        </w:tc>
        <w:tc>
          <w:tcPr>
            <w:tcW w:type="dxa" w:w="4176"/>
          </w:tcPr>
          <w:p>
            <w:r>
              <w:rPr>
                <w:rFonts w:ascii="Calibri" w:hAnsi="Calibri"/>
                <w:color w:val="2C2925"/>
                <w:sz w:val="19"/>
              </w:rPr>
              <w:t>What they do and for whom.</w:t>
            </w:r>
          </w:p>
        </w:tc>
        <w:tc>
          <w:tcPr>
            <w:tcW w:type="dxa" w:w="3600"/>
          </w:tcPr>
          <w:p>
            <w:r>
              <w:rPr>
                <w:rFonts w:ascii="Calibri" w:hAnsi="Calibri"/>
                <w:color w:val="2C2925"/>
                <w:sz w:val="19"/>
              </w:rPr>
              <w:t>A job title, or a company name.</w:t>
            </w:r>
          </w:p>
        </w:tc>
      </w:tr>
      <w:tr>
        <w:tc>
          <w:tcPr>
            <w:tcW w:type="dxa" w:w="1872"/>
          </w:tcPr>
          <w:p>
            <w:r>
              <w:rPr>
                <w:rFonts w:ascii="Calibri" w:hAnsi="Calibri"/>
                <w:color w:val="2C2925"/>
                <w:sz w:val="19"/>
              </w:rPr>
              <w:t>About</w:t>
            </w:r>
          </w:p>
        </w:tc>
        <w:tc>
          <w:tcPr>
            <w:tcW w:type="dxa" w:w="4176"/>
          </w:tcPr>
          <w:p>
            <w:r>
              <w:rPr>
                <w:rFonts w:ascii="Calibri" w:hAnsi="Calibri"/>
                <w:color w:val="2C2925"/>
                <w:sz w:val="19"/>
              </w:rPr>
              <w:t>Four sentences in the voice you just captured.</w:t>
            </w:r>
          </w:p>
        </w:tc>
        <w:tc>
          <w:tcPr>
            <w:tcW w:type="dxa" w:w="3600"/>
          </w:tcPr>
          <w:p>
            <w:r>
              <w:rPr>
                <w:rFonts w:ascii="Calibri" w:hAnsi="Calibri"/>
                <w:color w:val="2C2925"/>
                <w:sz w:val="19"/>
              </w:rPr>
              <w:t>A third-person paragraph written by somebody else.</w:t>
            </w:r>
          </w:p>
        </w:tc>
      </w:tr>
      <w:tr>
        <w:tc>
          <w:tcPr>
            <w:tcW w:type="dxa" w:w="1872"/>
          </w:tcPr>
          <w:p>
            <w:r>
              <w:rPr>
                <w:rFonts w:ascii="Calibri" w:hAnsi="Calibri"/>
                <w:color w:val="2C2925"/>
                <w:sz w:val="19"/>
              </w:rPr>
              <w:t>Featured</w:t>
            </w:r>
          </w:p>
        </w:tc>
        <w:tc>
          <w:tcPr>
            <w:tcW w:type="dxa" w:w="4176"/>
          </w:tcPr>
          <w:p>
            <w:r>
              <w:rPr>
                <w:rFonts w:ascii="Calibri" w:hAnsi="Calibri"/>
                <w:color w:val="2C2925"/>
                <w:sz w:val="19"/>
              </w:rPr>
              <w:t>The two or three things they would want a stranger to read first.</w:t>
            </w:r>
          </w:p>
        </w:tc>
        <w:tc>
          <w:tcPr>
            <w:tcW w:type="dxa" w:w="3600"/>
          </w:tcPr>
          <w:p>
            <w:r>
              <w:rPr>
                <w:rFonts w:ascii="Calibri" w:hAnsi="Calibri"/>
                <w:color w:val="2C2925"/>
                <w:sz w:val="19"/>
              </w:rPr>
              <w:t>Empty.</w:t>
            </w:r>
          </w:p>
        </w:tc>
      </w:tr>
    </w:tbl>
    <w:p>
      <w:pPr>
        <w:spacing w:after="120"/>
      </w:pPr>
    </w:p>
    <w:p>
      <w:pPr>
        <w:spacing w:after="60"/>
      </w:pPr>
      <w:r>
        <w:rPr>
          <w:rFonts w:ascii="Calibri" w:hAnsi="Calibri"/>
          <w:b/>
          <w:color w:val="13100E"/>
          <w:sz w:val="22"/>
        </w:rPr>
        <w:t xml:space="preserve">New headline  </w:t>
      </w:r>
      <w:r>
        <w:rPr>
          <w:rFonts w:ascii="Calibri" w:hAnsi="Calibri"/>
          <w:color w:val="8A7A6A"/>
          <w:sz w:val="22"/>
        </w:rPr>
      </w:r>
    </w:p>
    <w:p>
      <w:pPr>
        <w:spacing w:after="80"/>
      </w:pPr>
      <w:r>
        <w:rPr>
          <w:rFonts w:ascii="Calibri" w:hAnsi="Calibri"/>
          <w:color w:val="AAAAAA"/>
          <w:sz w:val="22"/>
        </w:rPr>
        <w:t>______________________________________________________________________</w:t>
      </w:r>
    </w:p>
    <w:p>
      <w:pPr>
        <w:spacing w:after="60"/>
      </w:pPr>
      <w:r>
        <w:rPr>
          <w:rFonts w:ascii="Calibri" w:hAnsi="Calibri"/>
          <w:b/>
          <w:color w:val="13100E"/>
          <w:sz w:val="22"/>
        </w:rPr>
        <w:t xml:space="preserve">New about, four sentences  </w:t>
      </w:r>
      <w:r>
        <w:rPr>
          <w:rFonts w:ascii="Calibri" w:hAnsi="Calibri"/>
          <w:color w:val="8A7A6A"/>
          <w:sz w:val="22"/>
        </w:rPr>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60"/>
      </w:pPr>
      <w:r>
        <w:rPr>
          <w:rFonts w:ascii="Calibri" w:hAnsi="Calibri"/>
          <w:b/>
          <w:color w:val="13100E"/>
          <w:sz w:val="22"/>
        </w:rPr>
        <w:t xml:space="preserve">Featured, in order  </w:t>
      </w:r>
      <w:r>
        <w:rPr>
          <w:rFonts w:ascii="Calibri" w:hAnsi="Calibri"/>
          <w:color w:val="8A7A6A"/>
          <w:sz w:val="22"/>
        </w:rPr>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Week one, done</w:t>
      </w:r>
    </w:p>
    <w:p>
      <w:pPr>
        <w:spacing w:after="60"/>
        <w:ind w:left="259"/>
      </w:pPr>
      <w:r>
        <w:rPr>
          <w:rFonts w:ascii="Consolas" w:hAnsi="Consolas"/>
          <w:color w:val="FA8A11"/>
          <w:sz w:val="22"/>
        </w:rPr>
        <w:t xml:space="preserve">[  ]  </w:t>
      </w:r>
      <w:r>
        <w:rPr>
          <w:rFonts w:ascii="Calibri" w:hAnsi="Calibri"/>
          <w:color w:val="2C2925"/>
          <w:sz w:val="22"/>
        </w:rPr>
        <w:t>Agreement signed, with both clauses in it</w:t>
      </w:r>
    </w:p>
    <w:p>
      <w:pPr>
        <w:spacing w:after="60"/>
        <w:ind w:left="259"/>
      </w:pPr>
      <w:r>
        <w:rPr>
          <w:rFonts w:ascii="Consolas" w:hAnsi="Consolas"/>
          <w:color w:val="FA8A11"/>
          <w:sz w:val="22"/>
        </w:rPr>
        <w:t xml:space="preserve">[  ]  </w:t>
      </w:r>
      <w:r>
        <w:rPr>
          <w:rFonts w:ascii="Calibri" w:hAnsi="Calibri"/>
          <w:color w:val="2C2925"/>
          <w:sz w:val="22"/>
        </w:rPr>
        <w:t>First payment received before any work started</w:t>
      </w:r>
    </w:p>
    <w:p>
      <w:pPr>
        <w:spacing w:after="60"/>
        <w:ind w:left="259"/>
      </w:pPr>
      <w:r>
        <w:rPr>
          <w:rFonts w:ascii="Consolas" w:hAnsi="Consolas"/>
          <w:color w:val="FA8A11"/>
          <w:sz w:val="22"/>
        </w:rPr>
        <w:t xml:space="preserve">[  ]  </w:t>
      </w:r>
      <w:r>
        <w:rPr>
          <w:rFonts w:ascii="Calibri" w:hAnsi="Calibri"/>
          <w:color w:val="2C2925"/>
          <w:sz w:val="22"/>
        </w:rPr>
        <w:t>Intake booked, or questionnaire sent</w:t>
      </w:r>
    </w:p>
    <w:p>
      <w:pPr>
        <w:spacing w:after="60"/>
        <w:ind w:left="259"/>
      </w:pPr>
      <w:r>
        <w:rPr>
          <w:rFonts w:ascii="Consolas" w:hAnsi="Consolas"/>
          <w:color w:val="FA8A11"/>
          <w:sz w:val="22"/>
        </w:rPr>
        <w:t xml:space="preserve">[  ]  </w:t>
      </w:r>
      <w:r>
        <w:rPr>
          <w:rFonts w:ascii="Calibri" w:hAnsi="Calibri"/>
          <w:color w:val="2C2925"/>
          <w:sz w:val="22"/>
        </w:rPr>
        <w:t>Analytics export asked for once, with the screenshot</w:t>
      </w:r>
    </w:p>
    <w:p>
      <w:pPr>
        <w:spacing w:after="60"/>
        <w:ind w:left="259"/>
      </w:pPr>
      <w:r>
        <w:rPr>
          <w:rFonts w:ascii="Consolas" w:hAnsi="Consolas"/>
          <w:color w:val="FA8A11"/>
          <w:sz w:val="22"/>
        </w:rPr>
        <w:t xml:space="preserve">[  ]  </w:t>
      </w:r>
      <w:r>
        <w:rPr>
          <w:rFonts w:ascii="Calibri" w:hAnsi="Calibri"/>
          <w:color w:val="2C2925"/>
          <w:sz w:val="22"/>
        </w:rPr>
        <w:t>Their existing writing collected</w:t>
      </w:r>
    </w:p>
    <w:p>
      <w:pPr>
        <w:spacing w:after="60"/>
        <w:ind w:left="259"/>
      </w:pPr>
      <w:r>
        <w:rPr>
          <w:rFonts w:ascii="Consolas" w:hAnsi="Consolas"/>
          <w:color w:val="FA8A11"/>
          <w:sz w:val="22"/>
        </w:rPr>
        <w:t xml:space="preserve">[  ]  </w:t>
      </w:r>
      <w:r>
        <w:rPr>
          <w:rFonts w:ascii="Calibri" w:hAnsi="Calibri"/>
          <w:color w:val="2C2925"/>
          <w:sz w:val="22"/>
        </w:rPr>
        <w:t>Approval window agreed in writing</w:t>
      </w:r>
    </w:p>
    <w:p>
      <w:pPr>
        <w:spacing w:after="60"/>
        <w:ind w:left="259"/>
      </w:pPr>
      <w:r>
        <w:rPr>
          <w:rFonts w:ascii="Consolas" w:hAnsi="Consolas"/>
          <w:color w:val="FA8A11"/>
          <w:sz w:val="22"/>
        </w:rPr>
        <w:t xml:space="preserve">[  ]  </w:t>
      </w:r>
      <w:r>
        <w:rPr>
          <w:rFonts w:ascii="Calibri" w:hAnsi="Calibri"/>
          <w:color w:val="2C2925"/>
          <w:sz w:val="22"/>
        </w:rPr>
        <w:t>Voice brief written, sent, and corrected by them</w:t>
      </w:r>
    </w:p>
    <w:p>
      <w:pPr>
        <w:spacing w:after="60"/>
        <w:ind w:left="259"/>
      </w:pPr>
      <w:r>
        <w:rPr>
          <w:rFonts w:ascii="Consolas" w:hAnsi="Consolas"/>
          <w:color w:val="FA8A11"/>
          <w:sz w:val="22"/>
        </w:rPr>
        <w:t xml:space="preserve">[  ]  </w:t>
      </w:r>
      <w:r>
        <w:rPr>
          <w:rFonts w:ascii="Calibri" w:hAnsi="Calibri"/>
          <w:color w:val="2C2925"/>
          <w:sz w:val="22"/>
        </w:rPr>
        <w:t>Their headline, about and featured rewritten</w:t>
      </w:r>
    </w:p>
    <w:p>
      <w:r>
        <w:br w:type="page"/>
      </w:r>
    </w:p>
    <w:p>
      <w:pPr>
        <w:spacing w:before="200" w:after="80"/>
      </w:pPr>
      <w:r>
        <w:rPr>
          <w:rFonts w:ascii="Georgia" w:hAnsi="Georgia"/>
          <w:b/>
          <w:color w:val="FA8A11"/>
          <w:sz w:val="28"/>
        </w:rPr>
        <w:t>The monthly input request</w:t>
      </w:r>
    </w:p>
    <w:p>
      <w:pPr>
        <w:spacing w:after="120"/>
      </w:pPr>
      <w:r>
        <w:rPr>
          <w:rFonts w:ascii="Calibri" w:hAnsi="Calibri"/>
          <w:i w:val="0"/>
          <w:color w:val="2C2925"/>
          <w:sz w:val="22"/>
        </w:rPr>
        <w:t>On the same date each month, send three questions and ask for short answers. Not a call, not a form, just a reply. You will get four lines back, and four lines is enough, because it is not carrying the whole month. It is updating a topic bank that already exists.</w:t>
      </w:r>
    </w:p>
    <w:p>
      <w:pPr>
        <w:spacing w:after="0"/>
        <w:ind w:left="259"/>
      </w:pPr>
      <w:r>
        <w:rPr>
          <w:rFonts w:ascii="Consolas" w:hAnsi="Consolas"/>
          <w:color w:val="2C2925"/>
          <w:sz w:val="20"/>
        </w:rPr>
        <w:t>Subject: three questions, four minutes</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1. What happened this month that annoyed you.</w:t>
      </w:r>
    </w:p>
    <w:p>
      <w:pPr>
        <w:spacing w:after="0"/>
        <w:ind w:left="259"/>
      </w:pPr>
      <w:r>
        <w:rPr>
          <w:rFonts w:ascii="Consolas" w:hAnsi="Consolas"/>
          <w:color w:val="2C2925"/>
          <w:sz w:val="20"/>
        </w:rPr>
        <w:t>2. What did a client ask you that you have been asked before.</w:t>
      </w:r>
    </w:p>
    <w:p>
      <w:pPr>
        <w:spacing w:after="0"/>
        <w:ind w:left="259"/>
      </w:pPr>
      <w:r>
        <w:rPr>
          <w:rFonts w:ascii="Consolas" w:hAnsi="Consolas"/>
          <w:color w:val="2C2925"/>
          <w:sz w:val="20"/>
        </w:rPr>
        <w:t>3. Is there anything you do not want me to write about right now.</w:t>
      </w:r>
    </w:p>
    <w:p>
      <w:pPr>
        <w:spacing w:after="0"/>
        <w:ind w:left="259"/>
      </w:pPr>
      <w:r>
        <w:rPr>
          <w:rFonts w:ascii="Consolas" w:hAnsi="Consolas"/>
          <w:color w:val="2C2925"/>
          <w:sz w:val="20"/>
        </w:rPr>
        <w:t xml:space="preserve"> </w:t>
      </w:r>
    </w:p>
    <w:p>
      <w:pPr>
        <w:spacing w:after="160"/>
        <w:ind w:left="259"/>
      </w:pPr>
      <w:r>
        <w:rPr>
          <w:rFonts w:ascii="Consolas" w:hAnsi="Consolas"/>
          <w:color w:val="2C2925"/>
          <w:sz w:val="20"/>
        </w:rPr>
        <w:t>Short answers are fine. A line each is plenty.</w:t>
      </w:r>
    </w:p>
    <w:p>
      <w:pPr>
        <w:spacing w:after="160"/>
        <w:ind w:left="648"/>
      </w:pPr>
      <w:r>
        <w:rPr>
          <w:rFonts w:ascii="Calibri" w:hAnsi="Calibri"/>
          <w:i/>
          <w:color w:val="FA8A11"/>
          <w:sz w:val="19"/>
        </w:rPr>
        <w:t>That third question is worth more than it looks. It is how you find out that they are in the middle of a funding round or an acquisition or a dispute, before you write a post that lands in the middle of it.</w:t>
      </w:r>
    </w:p>
    <w:p>
      <w:pPr>
        <w:spacing w:before="120" w:after="160"/>
        <w:ind w:left="259"/>
      </w:pPr>
      <w:r>
        <w:rPr>
          <w:rFonts w:ascii="Calibri" w:hAnsi="Calibri"/>
          <w:b/>
          <w:color w:val="FA8A11"/>
          <w:sz w:val="22"/>
        </w:rPr>
        <w:t>No reply is still a month.</w:t>
      </w:r>
    </w:p>
    <w:p>
      <w:pPr>
        <w:spacing w:after="120"/>
      </w:pPr>
      <w:r>
        <w:rPr>
          <w:rFonts w:ascii="Calibri" w:hAnsi="Calibri"/>
          <w:i w:val="0"/>
          <w:color w:val="2C2925"/>
          <w:sz w:val="22"/>
        </w:rPr>
        <w:t>If they do not answer at all, the month still happens, because the topic bank is already there. That is the whole reason this business is built on a one-time intake rather than a standing call.</w:t>
      </w:r>
    </w:p>
    <w:p>
      <w:pPr>
        <w:spacing w:before="200" w:after="80"/>
      </w:pPr>
      <w:r>
        <w:rPr>
          <w:rFonts w:ascii="Georgia" w:hAnsi="Georgia"/>
          <w:b/>
          <w:color w:val="FA8A11"/>
          <w:sz w:val="28"/>
        </w:rPr>
        <w:t>The approval document</w:t>
      </w:r>
    </w:p>
    <w:p>
      <w:pPr>
        <w:spacing w:after="120"/>
      </w:pPr>
      <w:r>
        <w:rPr>
          <w:rFonts w:ascii="Calibri" w:hAnsi="Calibri"/>
          <w:i w:val="0"/>
          <w:color w:val="2C2925"/>
          <w:sz w:val="22"/>
        </w:rPr>
        <w:t>Send the batch as one document with one post per block, and give every block three things: the post, a one-line note saying which thing they said it came from, and three boxes.</w:t>
      </w:r>
    </w:p>
    <w:tbl>
      <w:tblPr>
        <w:tblStyle w:val="TableGrid"/>
        <w:tblW w:type="auto" w:w="0"/>
        <w:tblLayout w:type="fixed"/>
        <w:tblLook w:firstColumn="1" w:firstRow="1" w:lastColumn="0" w:lastRow="0" w:noHBand="0" w:noVBand="1" w:val="04A0"/>
      </w:tblPr>
      <w:tblGrid>
        <w:gridCol w:w="1928"/>
        <w:gridCol w:w="1928"/>
        <w:gridCol w:w="1928"/>
        <w:gridCol w:w="1928"/>
        <w:gridCol w:w="1928"/>
      </w:tblGrid>
      <w:tr>
        <w:tc>
          <w:tcPr>
            <w:tcW w:type="dxa" w:w="3888"/>
          </w:tcPr>
          <w:p>
            <w:r>
              <w:rPr>
                <w:rFonts w:ascii="Calibri" w:hAnsi="Calibri"/>
                <w:b/>
                <w:color w:val="FA8A11"/>
                <w:sz w:val="19"/>
              </w:rPr>
              <w:t>Post</w:t>
            </w:r>
          </w:p>
        </w:tc>
        <w:tc>
          <w:tcPr>
            <w:tcW w:type="dxa" w:w="3312"/>
          </w:tcPr>
          <w:p>
            <w:r>
              <w:rPr>
                <w:rFonts w:ascii="Calibri" w:hAnsi="Calibri"/>
                <w:b/>
                <w:color w:val="FA8A11"/>
                <w:sz w:val="19"/>
              </w:rPr>
              <w:t>Where it came from</w:t>
            </w:r>
          </w:p>
        </w:tc>
        <w:tc>
          <w:tcPr>
            <w:tcW w:type="dxa" w:w="936"/>
          </w:tcPr>
          <w:p>
            <w:r>
              <w:rPr>
                <w:rFonts w:ascii="Calibri" w:hAnsi="Calibri"/>
                <w:b/>
                <w:color w:val="FA8A11"/>
                <w:sz w:val="19"/>
              </w:rPr>
              <w:t>Approve</w:t>
            </w:r>
          </w:p>
        </w:tc>
        <w:tc>
          <w:tcPr>
            <w:tcW w:type="dxa" w:w="1080"/>
          </w:tcPr>
          <w:p>
            <w:r>
              <w:rPr>
                <w:rFonts w:ascii="Calibri" w:hAnsi="Calibri"/>
                <w:b/>
                <w:color w:val="FA8A11"/>
                <w:sz w:val="19"/>
              </w:rPr>
              <w:t>With edits</w:t>
            </w:r>
          </w:p>
        </w:tc>
        <w:tc>
          <w:tcPr>
            <w:tcW w:type="dxa" w:w="792"/>
          </w:tcPr>
          <w:p>
            <w:r>
              <w:rPr>
                <w:rFonts w:ascii="Calibri" w:hAnsi="Calibri"/>
                <w:b/>
                <w:color w:val="FA8A11"/>
                <w:sz w:val="19"/>
              </w:rPr>
              <w:t>Cut</w:t>
            </w:r>
          </w:p>
        </w:tc>
      </w:tr>
      <w:tr>
        <w:tc>
          <w:tcPr>
            <w:tcW w:type="dxa" w:w="3888"/>
          </w:tcPr>
          <w:p>
            <w:r>
              <w:rPr>
                <w:rFonts w:ascii="Calibri" w:hAnsi="Calibri"/>
                <w:color w:val="2C2925"/>
                <w:sz w:val="19"/>
              </w:rPr>
              <w:t>1.</w:t>
            </w:r>
          </w:p>
        </w:tc>
        <w:tc>
          <w:tcPr>
            <w:tcW w:type="dxa" w:w="3312"/>
          </w:tcPr>
          <w:p>
            <w:r>
              <w:rPr>
                <w:rFonts w:ascii="Calibri" w:hAnsi="Calibri"/>
                <w:color w:val="2C2925"/>
                <w:sz w:val="19"/>
              </w:rPr>
            </w:r>
          </w:p>
        </w:tc>
        <w:tc>
          <w:tcPr>
            <w:tcW w:type="dxa" w:w="936"/>
          </w:tcPr>
          <w:p>
            <w:r>
              <w:rPr>
                <w:rFonts w:ascii="Calibri" w:hAnsi="Calibri"/>
                <w:color w:val="2C2925"/>
                <w:sz w:val="19"/>
              </w:rPr>
              <w:t>[  ]</w:t>
            </w:r>
          </w:p>
        </w:tc>
        <w:tc>
          <w:tcPr>
            <w:tcW w:type="dxa" w:w="1080"/>
          </w:tcPr>
          <w:p>
            <w:r>
              <w:rPr>
                <w:rFonts w:ascii="Calibri" w:hAnsi="Calibri"/>
                <w:color w:val="2C2925"/>
                <w:sz w:val="19"/>
              </w:rPr>
              <w:t>[  ]</w:t>
            </w:r>
          </w:p>
        </w:tc>
        <w:tc>
          <w:tcPr>
            <w:tcW w:type="dxa" w:w="792"/>
          </w:tcPr>
          <w:p>
            <w:r>
              <w:rPr>
                <w:rFonts w:ascii="Calibri" w:hAnsi="Calibri"/>
                <w:color w:val="2C2925"/>
                <w:sz w:val="19"/>
              </w:rPr>
              <w:t>[  ]</w:t>
            </w:r>
          </w:p>
        </w:tc>
      </w:tr>
      <w:tr>
        <w:tc>
          <w:tcPr>
            <w:tcW w:type="dxa" w:w="3888"/>
          </w:tcPr>
          <w:p>
            <w:r>
              <w:rPr>
                <w:rFonts w:ascii="Calibri" w:hAnsi="Calibri"/>
                <w:color w:val="2C2925"/>
                <w:sz w:val="19"/>
              </w:rPr>
              <w:t>2.</w:t>
            </w:r>
          </w:p>
        </w:tc>
        <w:tc>
          <w:tcPr>
            <w:tcW w:type="dxa" w:w="3312"/>
          </w:tcPr>
          <w:p>
            <w:r>
              <w:rPr>
                <w:rFonts w:ascii="Calibri" w:hAnsi="Calibri"/>
                <w:color w:val="2C2925"/>
                <w:sz w:val="19"/>
              </w:rPr>
            </w:r>
          </w:p>
        </w:tc>
        <w:tc>
          <w:tcPr>
            <w:tcW w:type="dxa" w:w="936"/>
          </w:tcPr>
          <w:p>
            <w:r>
              <w:rPr>
                <w:rFonts w:ascii="Calibri" w:hAnsi="Calibri"/>
                <w:color w:val="2C2925"/>
                <w:sz w:val="19"/>
              </w:rPr>
              <w:t>[  ]</w:t>
            </w:r>
          </w:p>
        </w:tc>
        <w:tc>
          <w:tcPr>
            <w:tcW w:type="dxa" w:w="1080"/>
          </w:tcPr>
          <w:p>
            <w:r>
              <w:rPr>
                <w:rFonts w:ascii="Calibri" w:hAnsi="Calibri"/>
                <w:color w:val="2C2925"/>
                <w:sz w:val="19"/>
              </w:rPr>
              <w:t>[  ]</w:t>
            </w:r>
          </w:p>
        </w:tc>
        <w:tc>
          <w:tcPr>
            <w:tcW w:type="dxa" w:w="792"/>
          </w:tcPr>
          <w:p>
            <w:r>
              <w:rPr>
                <w:rFonts w:ascii="Calibri" w:hAnsi="Calibri"/>
                <w:color w:val="2C2925"/>
                <w:sz w:val="19"/>
              </w:rPr>
              <w:t>[  ]</w:t>
            </w:r>
          </w:p>
        </w:tc>
      </w:tr>
      <w:tr>
        <w:tc>
          <w:tcPr>
            <w:tcW w:type="dxa" w:w="3888"/>
          </w:tcPr>
          <w:p>
            <w:r>
              <w:rPr>
                <w:rFonts w:ascii="Calibri" w:hAnsi="Calibri"/>
                <w:color w:val="2C2925"/>
                <w:sz w:val="19"/>
              </w:rPr>
              <w:t>3.</w:t>
            </w:r>
          </w:p>
        </w:tc>
        <w:tc>
          <w:tcPr>
            <w:tcW w:type="dxa" w:w="3312"/>
          </w:tcPr>
          <w:p>
            <w:r>
              <w:rPr>
                <w:rFonts w:ascii="Calibri" w:hAnsi="Calibri"/>
                <w:color w:val="2C2925"/>
                <w:sz w:val="19"/>
              </w:rPr>
            </w:r>
          </w:p>
        </w:tc>
        <w:tc>
          <w:tcPr>
            <w:tcW w:type="dxa" w:w="936"/>
          </w:tcPr>
          <w:p>
            <w:r>
              <w:rPr>
                <w:rFonts w:ascii="Calibri" w:hAnsi="Calibri"/>
                <w:color w:val="2C2925"/>
                <w:sz w:val="19"/>
              </w:rPr>
              <w:t>[  ]</w:t>
            </w:r>
          </w:p>
        </w:tc>
        <w:tc>
          <w:tcPr>
            <w:tcW w:type="dxa" w:w="1080"/>
          </w:tcPr>
          <w:p>
            <w:r>
              <w:rPr>
                <w:rFonts w:ascii="Calibri" w:hAnsi="Calibri"/>
                <w:color w:val="2C2925"/>
                <w:sz w:val="19"/>
              </w:rPr>
              <w:t>[  ]</w:t>
            </w:r>
          </w:p>
        </w:tc>
        <w:tc>
          <w:tcPr>
            <w:tcW w:type="dxa" w:w="792"/>
          </w:tcPr>
          <w:p>
            <w:r>
              <w:rPr>
                <w:rFonts w:ascii="Calibri" w:hAnsi="Calibri"/>
                <w:color w:val="2C2925"/>
                <w:sz w:val="19"/>
              </w:rPr>
              <w:t>[  ]</w:t>
            </w:r>
          </w:p>
        </w:tc>
      </w:tr>
      <w:tr>
        <w:tc>
          <w:tcPr>
            <w:tcW w:type="dxa" w:w="3888"/>
          </w:tcPr>
          <w:p>
            <w:r>
              <w:rPr>
                <w:rFonts w:ascii="Calibri" w:hAnsi="Calibri"/>
                <w:color w:val="2C2925"/>
                <w:sz w:val="19"/>
              </w:rPr>
              <w:t>4.</w:t>
            </w:r>
          </w:p>
        </w:tc>
        <w:tc>
          <w:tcPr>
            <w:tcW w:type="dxa" w:w="3312"/>
          </w:tcPr>
          <w:p>
            <w:r>
              <w:rPr>
                <w:rFonts w:ascii="Calibri" w:hAnsi="Calibri"/>
                <w:color w:val="2C2925"/>
                <w:sz w:val="19"/>
              </w:rPr>
            </w:r>
          </w:p>
        </w:tc>
        <w:tc>
          <w:tcPr>
            <w:tcW w:type="dxa" w:w="936"/>
          </w:tcPr>
          <w:p>
            <w:r>
              <w:rPr>
                <w:rFonts w:ascii="Calibri" w:hAnsi="Calibri"/>
                <w:color w:val="2C2925"/>
                <w:sz w:val="19"/>
              </w:rPr>
              <w:t>[  ]</w:t>
            </w:r>
          </w:p>
        </w:tc>
        <w:tc>
          <w:tcPr>
            <w:tcW w:type="dxa" w:w="1080"/>
          </w:tcPr>
          <w:p>
            <w:r>
              <w:rPr>
                <w:rFonts w:ascii="Calibri" w:hAnsi="Calibri"/>
                <w:color w:val="2C2925"/>
                <w:sz w:val="19"/>
              </w:rPr>
              <w:t>[  ]</w:t>
            </w:r>
          </w:p>
        </w:tc>
        <w:tc>
          <w:tcPr>
            <w:tcW w:type="dxa" w:w="792"/>
          </w:tcPr>
          <w:p>
            <w:r>
              <w:rPr>
                <w:rFonts w:ascii="Calibri" w:hAnsi="Calibri"/>
                <w:color w:val="2C2925"/>
                <w:sz w:val="19"/>
              </w:rPr>
              <w:t>[  ]</w:t>
            </w:r>
          </w:p>
        </w:tc>
      </w:tr>
      <w:tr>
        <w:tc>
          <w:tcPr>
            <w:tcW w:type="dxa" w:w="3888"/>
          </w:tcPr>
          <w:p>
            <w:r>
              <w:rPr>
                <w:rFonts w:ascii="Calibri" w:hAnsi="Calibri"/>
                <w:color w:val="2C2925"/>
                <w:sz w:val="19"/>
              </w:rPr>
              <w:t>5.</w:t>
            </w:r>
          </w:p>
        </w:tc>
        <w:tc>
          <w:tcPr>
            <w:tcW w:type="dxa" w:w="3312"/>
          </w:tcPr>
          <w:p>
            <w:r>
              <w:rPr>
                <w:rFonts w:ascii="Calibri" w:hAnsi="Calibri"/>
                <w:color w:val="2C2925"/>
                <w:sz w:val="19"/>
              </w:rPr>
            </w:r>
          </w:p>
        </w:tc>
        <w:tc>
          <w:tcPr>
            <w:tcW w:type="dxa" w:w="936"/>
          </w:tcPr>
          <w:p>
            <w:r>
              <w:rPr>
                <w:rFonts w:ascii="Calibri" w:hAnsi="Calibri"/>
                <w:color w:val="2C2925"/>
                <w:sz w:val="19"/>
              </w:rPr>
              <w:t>[  ]</w:t>
            </w:r>
          </w:p>
        </w:tc>
        <w:tc>
          <w:tcPr>
            <w:tcW w:type="dxa" w:w="1080"/>
          </w:tcPr>
          <w:p>
            <w:r>
              <w:rPr>
                <w:rFonts w:ascii="Calibri" w:hAnsi="Calibri"/>
                <w:color w:val="2C2925"/>
                <w:sz w:val="19"/>
              </w:rPr>
              <w:t>[  ]</w:t>
            </w:r>
          </w:p>
        </w:tc>
        <w:tc>
          <w:tcPr>
            <w:tcW w:type="dxa" w:w="792"/>
          </w:tcPr>
          <w:p>
            <w:r>
              <w:rPr>
                <w:rFonts w:ascii="Calibri" w:hAnsi="Calibri"/>
                <w:color w:val="2C2925"/>
                <w:sz w:val="19"/>
              </w:rPr>
              <w:t>[  ]</w:t>
            </w:r>
          </w:p>
        </w:tc>
      </w:tr>
      <w:tr>
        <w:tc>
          <w:tcPr>
            <w:tcW w:type="dxa" w:w="3888"/>
          </w:tcPr>
          <w:p>
            <w:r>
              <w:rPr>
                <w:rFonts w:ascii="Calibri" w:hAnsi="Calibri"/>
                <w:color w:val="2C2925"/>
                <w:sz w:val="19"/>
              </w:rPr>
              <w:t>6.</w:t>
            </w:r>
          </w:p>
        </w:tc>
        <w:tc>
          <w:tcPr>
            <w:tcW w:type="dxa" w:w="3312"/>
          </w:tcPr>
          <w:p>
            <w:r>
              <w:rPr>
                <w:rFonts w:ascii="Calibri" w:hAnsi="Calibri"/>
                <w:color w:val="2C2925"/>
                <w:sz w:val="19"/>
              </w:rPr>
            </w:r>
          </w:p>
        </w:tc>
        <w:tc>
          <w:tcPr>
            <w:tcW w:type="dxa" w:w="936"/>
          </w:tcPr>
          <w:p>
            <w:r>
              <w:rPr>
                <w:rFonts w:ascii="Calibri" w:hAnsi="Calibri"/>
                <w:color w:val="2C2925"/>
                <w:sz w:val="19"/>
              </w:rPr>
              <w:t>[  ]</w:t>
            </w:r>
          </w:p>
        </w:tc>
        <w:tc>
          <w:tcPr>
            <w:tcW w:type="dxa" w:w="1080"/>
          </w:tcPr>
          <w:p>
            <w:r>
              <w:rPr>
                <w:rFonts w:ascii="Calibri" w:hAnsi="Calibri"/>
                <w:color w:val="2C2925"/>
                <w:sz w:val="19"/>
              </w:rPr>
              <w:t>[  ]</w:t>
            </w:r>
          </w:p>
        </w:tc>
        <w:tc>
          <w:tcPr>
            <w:tcW w:type="dxa" w:w="792"/>
          </w:tcPr>
          <w:p>
            <w:r>
              <w:rPr>
                <w:rFonts w:ascii="Calibri" w:hAnsi="Calibri"/>
                <w:color w:val="2C2925"/>
                <w:sz w:val="19"/>
              </w:rPr>
              <w:t>[  ]</w:t>
            </w:r>
          </w:p>
        </w:tc>
      </w:tr>
      <w:tr>
        <w:tc>
          <w:tcPr>
            <w:tcW w:type="dxa" w:w="3888"/>
          </w:tcPr>
          <w:p>
            <w:r>
              <w:rPr>
                <w:rFonts w:ascii="Calibri" w:hAnsi="Calibri"/>
                <w:color w:val="2C2925"/>
                <w:sz w:val="19"/>
              </w:rPr>
              <w:t>7.</w:t>
            </w:r>
          </w:p>
        </w:tc>
        <w:tc>
          <w:tcPr>
            <w:tcW w:type="dxa" w:w="3312"/>
          </w:tcPr>
          <w:p>
            <w:r>
              <w:rPr>
                <w:rFonts w:ascii="Calibri" w:hAnsi="Calibri"/>
                <w:color w:val="2C2925"/>
                <w:sz w:val="19"/>
              </w:rPr>
            </w:r>
          </w:p>
        </w:tc>
        <w:tc>
          <w:tcPr>
            <w:tcW w:type="dxa" w:w="936"/>
          </w:tcPr>
          <w:p>
            <w:r>
              <w:rPr>
                <w:rFonts w:ascii="Calibri" w:hAnsi="Calibri"/>
                <w:color w:val="2C2925"/>
                <w:sz w:val="19"/>
              </w:rPr>
              <w:t>[  ]</w:t>
            </w:r>
          </w:p>
        </w:tc>
        <w:tc>
          <w:tcPr>
            <w:tcW w:type="dxa" w:w="1080"/>
          </w:tcPr>
          <w:p>
            <w:r>
              <w:rPr>
                <w:rFonts w:ascii="Calibri" w:hAnsi="Calibri"/>
                <w:color w:val="2C2925"/>
                <w:sz w:val="19"/>
              </w:rPr>
              <w:t>[  ]</w:t>
            </w:r>
          </w:p>
        </w:tc>
        <w:tc>
          <w:tcPr>
            <w:tcW w:type="dxa" w:w="792"/>
          </w:tcPr>
          <w:p>
            <w:r>
              <w:rPr>
                <w:rFonts w:ascii="Calibri" w:hAnsi="Calibri"/>
                <w:color w:val="2C2925"/>
                <w:sz w:val="19"/>
              </w:rPr>
              <w:t>[  ]</w:t>
            </w:r>
          </w:p>
        </w:tc>
      </w:tr>
      <w:tr>
        <w:tc>
          <w:tcPr>
            <w:tcW w:type="dxa" w:w="3888"/>
          </w:tcPr>
          <w:p>
            <w:r>
              <w:rPr>
                <w:rFonts w:ascii="Calibri" w:hAnsi="Calibri"/>
                <w:color w:val="2C2925"/>
                <w:sz w:val="19"/>
              </w:rPr>
              <w:t>8.</w:t>
            </w:r>
          </w:p>
        </w:tc>
        <w:tc>
          <w:tcPr>
            <w:tcW w:type="dxa" w:w="3312"/>
          </w:tcPr>
          <w:p>
            <w:r>
              <w:rPr>
                <w:rFonts w:ascii="Calibri" w:hAnsi="Calibri"/>
                <w:color w:val="2C2925"/>
                <w:sz w:val="19"/>
              </w:rPr>
            </w:r>
          </w:p>
        </w:tc>
        <w:tc>
          <w:tcPr>
            <w:tcW w:type="dxa" w:w="936"/>
          </w:tcPr>
          <w:p>
            <w:r>
              <w:rPr>
                <w:rFonts w:ascii="Calibri" w:hAnsi="Calibri"/>
                <w:color w:val="2C2925"/>
                <w:sz w:val="19"/>
              </w:rPr>
              <w:t>[  ]</w:t>
            </w:r>
          </w:p>
        </w:tc>
        <w:tc>
          <w:tcPr>
            <w:tcW w:type="dxa" w:w="1080"/>
          </w:tcPr>
          <w:p>
            <w:r>
              <w:rPr>
                <w:rFonts w:ascii="Calibri" w:hAnsi="Calibri"/>
                <w:color w:val="2C2925"/>
                <w:sz w:val="19"/>
              </w:rPr>
              <w:t>[  ]</w:t>
            </w:r>
          </w:p>
        </w:tc>
        <w:tc>
          <w:tcPr>
            <w:tcW w:type="dxa" w:w="792"/>
          </w:tcPr>
          <w:p>
            <w:r>
              <w:rPr>
                <w:rFonts w:ascii="Calibri" w:hAnsi="Calibri"/>
                <w:color w:val="2C2925"/>
                <w:sz w:val="19"/>
              </w:rPr>
              <w:t>[  ]</w:t>
            </w:r>
          </w:p>
        </w:tc>
      </w:tr>
    </w:tbl>
    <w:p>
      <w:pPr>
        <w:spacing w:after="120"/>
      </w:pPr>
    </w:p>
    <w:p>
      <w:pPr>
        <w:spacing w:before="120" w:after="160"/>
        <w:ind w:left="259"/>
      </w:pPr>
      <w:r>
        <w:rPr>
          <w:rFonts w:ascii="Calibri" w:hAnsi="Calibri"/>
          <w:b/>
          <w:color w:val="FA8A11"/>
          <w:sz w:val="22"/>
        </w:rPr>
        <w:t>The middle box matters.</w:t>
      </w:r>
    </w:p>
    <w:p>
      <w:pPr>
        <w:spacing w:after="120"/>
      </w:pPr>
      <w:r>
        <w:rPr>
          <w:rFonts w:ascii="Calibri" w:hAnsi="Calibri"/>
          <w:i w:val="0"/>
          <w:color w:val="2C2925"/>
          <w:sz w:val="22"/>
        </w:rPr>
        <w:t>If the only options are yes and no, a busy person sits on the whole document for a week rather than dealing with the one post they are unsure about.</w:t>
      </w:r>
    </w:p>
    <w:p>
      <w:pPr>
        <w:spacing w:before="120" w:after="160"/>
        <w:ind w:left="259"/>
      </w:pPr>
      <w:r>
        <w:rPr>
          <w:rFonts w:ascii="Calibri" w:hAnsi="Calibri"/>
          <w:b/>
          <w:color w:val="FA8A11"/>
          <w:sz w:val="22"/>
        </w:rPr>
        <w:t>And the source note does more work than anything else in the document.</w:t>
      </w:r>
    </w:p>
    <w:p>
      <w:pPr>
        <w:spacing w:after="120"/>
      </w:pPr>
      <w:r>
        <w:rPr>
          <w:rFonts w:ascii="Calibri" w:hAnsi="Calibri"/>
          <w:i w:val="0"/>
          <w:color w:val="2C2925"/>
          <w:sz w:val="22"/>
        </w:rPr>
        <w:t>When a client reads a post and thinks, I would never say that, the line underneath it says, on the fourteenth you said this, and here is the sentence. That ends the disagreement before it becomes one.</w:t>
      </w:r>
    </w:p>
    <w:p>
      <w:pPr>
        <w:spacing w:before="160" w:after="40"/>
      </w:pPr>
      <w:r>
        <w:rPr>
          <w:rFonts w:ascii="Calibri" w:hAnsi="Calibri"/>
          <w:b/>
          <w:color w:val="13100E"/>
          <w:sz w:val="23"/>
        </w:rPr>
        <w:t>When they go quiet, and they will</w:t>
      </w:r>
    </w:p>
    <w:p>
      <w:pPr>
        <w:spacing w:after="120"/>
      </w:pPr>
      <w:r>
        <w:rPr>
          <w:rFonts w:ascii="Calibri" w:hAnsi="Calibri"/>
          <w:i w:val="0"/>
          <w:color w:val="2C2925"/>
          <w:sz w:val="22"/>
        </w:rPr>
        <w:t>You send eight posts and hear nothing for eleven days. Do not send a message asking whether they had a chance to look. Send one that makes it smaller.</w:t>
      </w:r>
    </w:p>
    <w:p>
      <w:pPr>
        <w:spacing w:after="0"/>
        <w:ind w:left="259"/>
      </w:pPr>
      <w:r>
        <w:rPr>
          <w:rFonts w:ascii="Consolas" w:hAnsi="Consolas"/>
          <w:color w:val="2C2925"/>
          <w:sz w:val="20"/>
        </w:rPr>
        <w:t>No rush on the full batch. Just tell me yes or no on the first two</w:t>
      </w:r>
    </w:p>
    <w:p>
      <w:pPr>
        <w:spacing w:after="160"/>
        <w:ind w:left="259"/>
      </w:pPr>
      <w:r>
        <w:rPr>
          <w:rFonts w:ascii="Consolas" w:hAnsi="Consolas"/>
          <w:color w:val="2C2925"/>
          <w:sz w:val="20"/>
        </w:rPr>
        <w:t>and I will get those scheduled so the month starts.</w:t>
      </w:r>
    </w:p>
    <w:p>
      <w:pPr>
        <w:spacing w:after="120"/>
      </w:pPr>
      <w:r>
        <w:rPr>
          <w:rFonts w:ascii="Calibri" w:hAnsi="Calibri"/>
          <w:i w:val="0"/>
          <w:color w:val="2C2925"/>
          <w:sz w:val="22"/>
        </w:rPr>
        <w:t>You are asking for two decisions instead of eight, and once somebody has made two the other six usually come back the same day.</w:t>
      </w:r>
    </w:p>
    <w:p>
      <w:pPr>
        <w:spacing w:before="240"/>
      </w:pPr>
      <w:r>
        <w:rPr>
          <w:rFonts w:ascii="Calibri" w:hAnsi="Calibri"/>
          <w:i/>
          <w:color w:val="8A7A6A"/>
          <w:sz w:val="18"/>
        </w:rPr>
        <w:t>Every edit they make goes onto the running correction list in the voice brief, not into a private note. The brief is the document you both agreed on.</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