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lgs-compliance-one-pager</w:t>
      </w:r>
    </w:p>
    <w:p>
      <w:pPr>
        <w:spacing w:after="40"/>
      </w:pPr>
      <w:r>
        <w:rPr>
          <w:rFonts w:ascii="Georgia" w:hAnsi="Georgia"/>
          <w:b/>
          <w:color w:val="13100E"/>
          <w:sz w:val="48"/>
        </w:rPr>
        <w:t>The Compliance One-Pager</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Four clauses of the LinkedIn User Agreement, what they rule out, and the two ways you are allowed to deliver. Keep this open the first time a client offers you their login, because one of them will, and the answer is not an opinion. It is a clause in the agreement they signed when they opened the account.</w:t>
      </w:r>
    </w:p>
    <w:p>
      <w:pPr>
        <w:spacing w:before="120" w:after="160"/>
        <w:ind w:left="259"/>
      </w:pPr>
      <w:r>
        <w:rPr>
          <w:rFonts w:ascii="Calibri" w:hAnsi="Calibri"/>
          <w:b/>
          <w:color w:val="FA8A11"/>
          <w:sz w:val="22"/>
        </w:rPr>
        <w:t>The person who carries this risk is not you. It is your client, whose account gets restricted, on the platform their reputation lives on, because of something you told them to do.</w:t>
      </w:r>
    </w:p>
    <w:p>
      <w:pPr>
        <w:spacing w:before="200" w:after="80"/>
      </w:pPr>
      <w:r>
        <w:rPr>
          <w:rFonts w:ascii="Georgia" w:hAnsi="Georgia"/>
          <w:b/>
          <w:color w:val="FA8A11"/>
          <w:sz w:val="28"/>
        </w:rPr>
        <w:t>The four clauses</w:t>
      </w:r>
    </w:p>
    <w:p>
      <w:pPr>
        <w:spacing w:after="120"/>
      </w:pPr>
      <w:r>
        <w:rPr>
          <w:rFonts w:ascii="Calibri" w:hAnsi="Calibri"/>
          <w:i w:val="0"/>
          <w:color w:val="2C2925"/>
          <w:sz w:val="22"/>
        </w:rPr>
        <w:t>Quoted from the LinkedIn User Agreement, effective 3 November 2025. Read them on the page yourself before you quote them to anybody, because agreements are revised and a clause number you got from a course is not the same as a clause number you checked.</w:t>
      </w:r>
    </w:p>
    <w:tbl>
      <w:tblPr>
        <w:tblStyle w:val="TableGrid"/>
        <w:tblW w:type="auto" w:w="0"/>
        <w:tblLayout w:type="fixed"/>
        <w:tblLook w:firstColumn="1" w:firstRow="1" w:lastColumn="0" w:lastRow="0" w:noHBand="0" w:noVBand="1" w:val="04A0"/>
      </w:tblPr>
      <w:tblGrid>
        <w:gridCol w:w="3213"/>
        <w:gridCol w:w="3213"/>
        <w:gridCol w:w="3213"/>
      </w:tblGrid>
      <w:tr>
        <w:tc>
          <w:tcPr>
            <w:tcW w:type="dxa" w:w="1296"/>
          </w:tcPr>
          <w:p>
            <w:r>
              <w:rPr>
                <w:rFonts w:ascii="Calibri" w:hAnsi="Calibri"/>
                <w:b/>
                <w:color w:val="FA8A11"/>
                <w:sz w:val="19"/>
              </w:rPr>
              <w:t>Clause</w:t>
            </w:r>
          </w:p>
        </w:tc>
        <w:tc>
          <w:tcPr>
            <w:tcW w:type="dxa" w:w="4752"/>
          </w:tcPr>
          <w:p>
            <w:r>
              <w:rPr>
                <w:rFonts w:ascii="Calibri" w:hAnsi="Calibri"/>
                <w:b/>
                <w:color w:val="FA8A11"/>
                <w:sz w:val="19"/>
              </w:rPr>
              <w:t>What it says</w:t>
            </w:r>
          </w:p>
        </w:tc>
        <w:tc>
          <w:tcPr>
            <w:tcW w:type="dxa" w:w="3600"/>
          </w:tcPr>
          <w:p>
            <w:r>
              <w:rPr>
                <w:rFonts w:ascii="Calibri" w:hAnsi="Calibri"/>
                <w:b/>
                <w:color w:val="FA8A11"/>
                <w:sz w:val="19"/>
              </w:rPr>
              <w:t>What it means for you</w:t>
            </w:r>
          </w:p>
        </w:tc>
      </w:tr>
      <w:tr>
        <w:tc>
          <w:tcPr>
            <w:tcW w:type="dxa" w:w="1296"/>
          </w:tcPr>
          <w:p>
            <w:r>
              <w:rPr>
                <w:rFonts w:ascii="Calibri" w:hAnsi="Calibri"/>
                <w:color w:val="2C2925"/>
                <w:sz w:val="19"/>
              </w:rPr>
              <w:t>2.1</w:t>
            </w:r>
          </w:p>
        </w:tc>
        <w:tc>
          <w:tcPr>
            <w:tcW w:type="dxa" w:w="4752"/>
          </w:tcPr>
          <w:p>
            <w:r>
              <w:rPr>
                <w:rFonts w:ascii="Calibri" w:hAnsi="Calibri"/>
                <w:color w:val="2C2925"/>
                <w:sz w:val="19"/>
              </w:rPr>
              <w:t>You will only have one LinkedIn account, which must be in your real name.</w:t>
            </w:r>
          </w:p>
        </w:tc>
        <w:tc>
          <w:tcPr>
            <w:tcW w:type="dxa" w:w="3600"/>
          </w:tcPr>
          <w:p>
            <w:r>
              <w:rPr>
                <w:rFonts w:ascii="Calibri" w:hAnsi="Calibri"/>
                <w:color w:val="2C2925"/>
                <w:sz w:val="19"/>
              </w:rPr>
              <w:t>Your client posts as themselves. There is no second account for you to work from.</w:t>
            </w:r>
          </w:p>
        </w:tc>
      </w:tr>
      <w:tr>
        <w:tc>
          <w:tcPr>
            <w:tcW w:type="dxa" w:w="1296"/>
          </w:tcPr>
          <w:p>
            <w:r>
              <w:rPr>
                <w:rFonts w:ascii="Calibri" w:hAnsi="Calibri"/>
                <w:color w:val="2C2925"/>
                <w:sz w:val="19"/>
              </w:rPr>
              <w:t>8.2 (Don'ts)</w:t>
            </w:r>
          </w:p>
        </w:tc>
        <w:tc>
          <w:tcPr>
            <w:tcW w:type="dxa" w:w="4752"/>
          </w:tcPr>
          <w:p>
            <w:r>
              <w:rPr>
                <w:rFonts w:ascii="Calibri" w:hAnsi="Calibri"/>
                <w:color w:val="2C2925"/>
                <w:sz w:val="19"/>
              </w:rPr>
              <w:t>You may not create a Member profile for anyone other than yourself (a real person).</w:t>
            </w:r>
          </w:p>
        </w:tc>
        <w:tc>
          <w:tcPr>
            <w:tcW w:type="dxa" w:w="3600"/>
          </w:tcPr>
          <w:p>
            <w:r>
              <w:rPr>
                <w:rFonts w:ascii="Calibri" w:hAnsi="Calibri"/>
                <w:color w:val="2C2925"/>
                <w:sz w:val="19"/>
              </w:rPr>
              <w:t>You never build or register a profile on a client's behalf. They create it, you work with it.</w:t>
            </w:r>
          </w:p>
        </w:tc>
      </w:tr>
      <w:tr>
        <w:tc>
          <w:tcPr>
            <w:tcW w:type="dxa" w:w="1296"/>
          </w:tcPr>
          <w:p>
            <w:r>
              <w:rPr>
                <w:rFonts w:ascii="Calibri" w:hAnsi="Calibri"/>
                <w:color w:val="2C2925"/>
                <w:sz w:val="19"/>
              </w:rPr>
              <w:t>2.2</w:t>
            </w:r>
          </w:p>
        </w:tc>
        <w:tc>
          <w:tcPr>
            <w:tcW w:type="dxa" w:w="4752"/>
          </w:tcPr>
          <w:p>
            <w:r>
              <w:rPr>
                <w:rFonts w:ascii="Calibri" w:hAnsi="Calibri"/>
                <w:color w:val="2C2925"/>
                <w:sz w:val="19"/>
              </w:rPr>
              <w:t>You will not share or transfer your account or any part of it.</w:t>
            </w:r>
          </w:p>
        </w:tc>
        <w:tc>
          <w:tcPr>
            <w:tcW w:type="dxa" w:w="3600"/>
          </w:tcPr>
          <w:p>
            <w:r>
              <w:rPr>
                <w:rFonts w:ascii="Calibri" w:hAnsi="Calibri"/>
                <w:color w:val="2C2925"/>
                <w:sz w:val="19"/>
              </w:rPr>
              <w:t>Their account is not transferable to you, temporarily or otherwise.</w:t>
            </w:r>
          </w:p>
        </w:tc>
      </w:tr>
      <w:tr>
        <w:tc>
          <w:tcPr>
            <w:tcW w:type="dxa" w:w="1296"/>
          </w:tcPr>
          <w:p>
            <w:r>
              <w:rPr>
                <w:rFonts w:ascii="Calibri" w:hAnsi="Calibri"/>
                <w:color w:val="2C2925"/>
                <w:sz w:val="19"/>
              </w:rPr>
              <w:t>8.2 (Don'ts)</w:t>
            </w:r>
          </w:p>
        </w:tc>
        <w:tc>
          <w:tcPr>
            <w:tcW w:type="dxa" w:w="4752"/>
          </w:tcPr>
          <w:p>
            <w:r>
              <w:rPr>
                <w:rFonts w:ascii="Calibri" w:hAnsi="Calibri"/>
                <w:color w:val="2C2925"/>
                <w:sz w:val="19"/>
              </w:rPr>
              <w:t>You may not use or attempt to use another's account, such as sharing log-in credentials or copying cookies.</w:t>
            </w:r>
          </w:p>
        </w:tc>
        <w:tc>
          <w:tcPr>
            <w:tcW w:type="dxa" w:w="3600"/>
          </w:tcPr>
          <w:p>
            <w:r>
              <w:rPr>
                <w:rFonts w:ascii="Calibri" w:hAnsi="Calibri"/>
                <w:color w:val="2C2925"/>
                <w:sz w:val="19"/>
              </w:rPr>
              <w:t>The password never changes hands. This is the clause that settles it.</w:t>
            </w:r>
          </w:p>
        </w:tc>
      </w:tr>
      <w:tr>
        <w:tc>
          <w:tcPr>
            <w:tcW w:type="dxa" w:w="1296"/>
          </w:tcPr>
          <w:p>
            <w:r>
              <w:rPr>
                <w:rFonts w:ascii="Calibri" w:hAnsi="Calibri"/>
                <w:color w:val="2C2925"/>
                <w:sz w:val="19"/>
              </w:rPr>
              <w:t>8.2 (Don'ts)</w:t>
            </w:r>
          </w:p>
        </w:tc>
        <w:tc>
          <w:tcPr>
            <w:tcW w:type="dxa" w:w="4752"/>
          </w:tcPr>
          <w:p>
            <w:r>
              <w:rPr>
                <w:rFonts w:ascii="Calibri" w:hAnsi="Calibri"/>
                <w:color w:val="2C2925"/>
                <w:sz w:val="19"/>
              </w:rPr>
              <w:t>You may not use bots or other unauthorised automated methods to create, comment on, like, share or re-share posts, or otherwise drive inauthentic engagement.</w:t>
            </w:r>
          </w:p>
        </w:tc>
        <w:tc>
          <w:tcPr>
            <w:tcW w:type="dxa" w:w="3600"/>
          </w:tcPr>
          <w:p>
            <w:r>
              <w:rPr>
                <w:rFonts w:ascii="Calibri" w:hAnsi="Calibri"/>
                <w:color w:val="2C2925"/>
                <w:sz w:val="19"/>
              </w:rPr>
              <w:t>No automated commenting, no engagement pods, no tool that clicks on their behalf.</w:t>
            </w:r>
          </w:p>
        </w:tc>
      </w:tr>
    </w:tbl>
    <w:p>
      <w:pPr>
        <w:spacing w:after="120"/>
      </w:pPr>
    </w:p>
    <w:p>
      <w:pPr>
        <w:spacing w:before="120" w:after="160"/>
        <w:ind w:left="259"/>
      </w:pPr>
      <w:r>
        <w:rPr>
          <w:rFonts w:ascii="Calibri" w:hAnsi="Calibri"/>
          <w:b/>
          <w:color w:val="FA8A11"/>
          <w:sz w:val="22"/>
        </w:rPr>
        <w:t>Together they say one thing. The account belongs to the person whose name is on it, and it never leaves their hands.</w:t>
      </w:r>
    </w:p>
    <w:p>
      <w:pPr>
        <w:spacing w:before="200" w:after="80"/>
      </w:pPr>
      <w:r>
        <w:rPr>
          <w:rFonts w:ascii="Georgia" w:hAnsi="Georgia"/>
          <w:b/>
          <w:color w:val="FA8A11"/>
          <w:sz w:val="28"/>
        </w:rPr>
        <w:t>What that rules out</w:t>
      </w:r>
    </w:p>
    <w:p>
      <w:pPr>
        <w:spacing w:after="120"/>
      </w:pPr>
      <w:r>
        <w:rPr>
          <w:rFonts w:ascii="Calibri" w:hAnsi="Calibri"/>
          <w:i w:val="0"/>
          <w:color w:val="2C2925"/>
          <w:sz w:val="22"/>
        </w:rPr>
        <w:t>No product is named here, because the rule is what matters and products change.</w:t>
      </w:r>
    </w:p>
    <w:p>
      <w:pPr>
        <w:spacing w:after="60"/>
        <w:ind w:left="259"/>
      </w:pPr>
      <w:r>
        <w:rPr>
          <w:rFonts w:ascii="Calibri" w:hAnsi="Calibri"/>
          <w:color w:val="FA8A11"/>
          <w:sz w:val="22"/>
        </w:rPr>
        <w:t xml:space="preserve">-  </w:t>
      </w:r>
      <w:r>
        <w:rPr>
          <w:rFonts w:ascii="Calibri" w:hAnsi="Calibri"/>
          <w:color w:val="2C2925"/>
          <w:sz w:val="22"/>
        </w:rPr>
        <w:t>Asking a client for their password, however it is presented. That includes a shared password manager, a single one-off login, and just for the first month.</w:t>
      </w:r>
    </w:p>
    <w:p>
      <w:pPr>
        <w:spacing w:after="60"/>
        <w:ind w:left="259"/>
      </w:pPr>
      <w:r>
        <w:rPr>
          <w:rFonts w:ascii="Calibri" w:hAnsi="Calibri"/>
          <w:color w:val="FA8A11"/>
          <w:sz w:val="22"/>
        </w:rPr>
        <w:t xml:space="preserve">-  </w:t>
      </w:r>
      <w:r>
        <w:rPr>
          <w:rFonts w:ascii="Calibri" w:hAnsi="Calibri"/>
          <w:color w:val="2C2925"/>
          <w:sz w:val="22"/>
        </w:rPr>
        <w:t>Any tool that works by logging into their account in a browser and clicking things on their behalf. In March 2026 LinkedIn named unauthorised third party tools as one of the behaviours it is acting on.</w:t>
      </w:r>
    </w:p>
    <w:p>
      <w:pPr>
        <w:spacing w:after="60"/>
        <w:ind w:left="259"/>
      </w:pPr>
      <w:r>
        <w:rPr>
          <w:rFonts w:ascii="Calibri" w:hAnsi="Calibri"/>
          <w:color w:val="FA8A11"/>
          <w:sz w:val="22"/>
        </w:rPr>
        <w:t xml:space="preserve">-  </w:t>
      </w:r>
      <w:r>
        <w:rPr>
          <w:rFonts w:ascii="Calibri" w:hAnsi="Calibri"/>
          <w:color w:val="2C2925"/>
          <w:sz w:val="22"/>
        </w:rPr>
        <w:t>Automated commenting and engagement pods, which are sometimes sold as a growth service alongside the writing.</w:t>
      </w:r>
    </w:p>
    <w:p>
      <w:pPr>
        <w:spacing w:before="200" w:after="80"/>
      </w:pPr>
      <w:r>
        <w:rPr>
          <w:rFonts w:ascii="Georgia" w:hAnsi="Georgia"/>
          <w:b/>
          <w:color w:val="FA8A11"/>
          <w:sz w:val="28"/>
        </w:rPr>
        <w:t>What is allowed</w:t>
      </w:r>
    </w:p>
    <w:p>
      <w:pPr>
        <w:spacing w:after="120"/>
      </w:pPr>
      <w:r>
        <w:rPr>
          <w:rFonts w:ascii="Calibri" w:hAnsi="Calibri"/>
          <w:i w:val="0"/>
          <w:color w:val="2C2925"/>
          <w:sz w:val="22"/>
        </w:rPr>
        <w:t>This is written down in LinkedIn's own developer documentation rather than being a matter of opinion. There is a permission called w_member_social, described as posting on behalf of an authenticated member. The client grants a tool that permission once, through a normal sign-in screen, on their own account. No password changes hands at any point.</w:t>
      </w:r>
    </w:p>
    <w:p>
      <w:pPr>
        <w:spacing w:before="120" w:after="160"/>
        <w:ind w:left="259"/>
      </w:pPr>
      <w:r>
        <w:rPr>
          <w:rFonts w:ascii="Calibri" w:hAnsi="Calibri"/>
          <w:b/>
          <w:color w:val="FA8A11"/>
          <w:sz w:val="22"/>
        </w:rPr>
        <w:t>A tool the client authorises is inside the rules. A tool that logs in as them is not. That is the whole line.</w:t>
      </w:r>
    </w:p>
    <w:p>
      <w:pPr>
        <w:spacing w:before="200" w:after="80"/>
      </w:pPr>
      <w:r>
        <w:rPr>
          <w:rFonts w:ascii="Georgia" w:hAnsi="Georgia"/>
          <w:b/>
          <w:color w:val="FA8A11"/>
          <w:sz w:val="28"/>
        </w:rPr>
        <w:t>The route that costs nothing</w:t>
      </w:r>
    </w:p>
    <w:p>
      <w:pPr>
        <w:spacing w:after="120"/>
      </w:pPr>
      <w:r>
        <w:rPr>
          <w:rFonts w:ascii="Calibri" w:hAnsi="Calibri"/>
          <w:i w:val="0"/>
          <w:color w:val="2C2925"/>
          <w:sz w:val="22"/>
        </w:rPr>
        <w:t>LinkedIn has a scheduler built into the post composer. It is the clock icon in the corner of the box you type into, it accepts anything from ten minutes to three months ahead, and it works for text, images, video and documents.</w:t>
      </w:r>
    </w:p>
    <w:p>
      <w:pPr>
        <w:spacing w:after="120"/>
      </w:pPr>
      <w:r>
        <w:rPr>
          <w:rFonts w:ascii="Calibri" w:hAnsi="Calibri"/>
          <w:i w:val="0"/>
          <w:color w:val="2C2925"/>
          <w:sz w:val="22"/>
        </w:rPr>
        <w:t>So the delivery model for this business is this. You never touch their account. You hand over finished, approved posts, and once a month they spend about ten minutes putting them into their own scheduler. It is free, it is inside the rules, and it does not depend on any tool continuing to be allowed.</w:t>
      </w:r>
    </w:p>
    <w:p>
      <w:pPr>
        <w:spacing w:after="120"/>
      </w:pPr>
      <w:r>
        <w:rPr>
          <w:rFonts w:ascii="Calibri" w:hAnsi="Calibri"/>
          <w:i w:val="0"/>
          <w:color w:val="2C2925"/>
          <w:sz w:val="22"/>
        </w:rPr>
        <w:t>Those are the two compliant routes. Anybody offering you a third is offering to put your client's account at risk to save them ten minutes a month.</w:t>
      </w:r>
    </w:p>
    <w:p>
      <w:pPr>
        <w:spacing w:before="200" w:after="80"/>
      </w:pPr>
      <w:r>
        <w:rPr>
          <w:rFonts w:ascii="Georgia" w:hAnsi="Georgia"/>
          <w:b/>
          <w:color w:val="FA8A11"/>
          <w:sz w:val="28"/>
        </w:rPr>
        <w:t>One detail that explains your reporting</w:t>
      </w:r>
    </w:p>
    <w:p>
      <w:pPr>
        <w:spacing w:after="120"/>
      </w:pPr>
      <w:r>
        <w:rPr>
          <w:rFonts w:ascii="Calibri" w:hAnsi="Calibri"/>
          <w:i w:val="0"/>
          <w:color w:val="2C2925"/>
          <w:sz w:val="22"/>
        </w:rPr>
        <w:t>Reading a member's own posts back out again is a restricted permission, r_member_social, available to approved partners only. That is why reporting tools for personal profiles are so limited compared with company pages, and it is why your client sends you their analytics export rather than you pulling the numbers yourself. Anybody offering you a dashboard that pulls a personal profile's numbers is either an approved partner or is signing in as your client.</w:t>
      </w:r>
    </w:p>
    <w:p>
      <w:pPr>
        <w:spacing w:before="200" w:after="80"/>
      </w:pPr>
      <w:r>
        <w:rPr>
          <w:rFonts w:ascii="Georgia" w:hAnsi="Georgia"/>
          <w:b/>
          <w:color w:val="FA8A11"/>
          <w:sz w:val="28"/>
        </w:rPr>
        <w:t>What you say when they offer you their login</w:t>
      </w:r>
    </w:p>
    <w:p>
      <w:pPr>
        <w:spacing w:after="0"/>
        <w:ind w:left="259"/>
      </w:pPr>
      <w:r>
        <w:rPr>
          <w:rFonts w:ascii="Consolas" w:hAnsi="Consolas"/>
          <w:color w:val="2C2925"/>
          <w:sz w:val="20"/>
        </w:rPr>
        <w:t>I am not going to hold your login, and it is not a preference.</w:t>
      </w:r>
    </w:p>
    <w:p>
      <w:pPr>
        <w:spacing w:after="0"/>
        <w:ind w:left="259"/>
      </w:pPr>
      <w:r>
        <w:rPr>
          <w:rFonts w:ascii="Consolas" w:hAnsi="Consolas"/>
          <w:color w:val="2C2925"/>
          <w:sz w:val="20"/>
        </w:rPr>
        <w:t>Sharing account credentials is in the list of things LinkedIn's own</w:t>
      </w:r>
    </w:p>
    <w:p>
      <w:pPr>
        <w:spacing w:after="0"/>
        <w:ind w:left="259"/>
      </w:pPr>
      <w:r>
        <w:rPr>
          <w:rFonts w:ascii="Consolas" w:hAnsi="Consolas"/>
          <w:color w:val="2C2925"/>
          <w:sz w:val="20"/>
        </w:rPr>
        <w:t>User Agreement says you may not do, at clause 8.2, and the account</w:t>
      </w:r>
    </w:p>
    <w:p>
      <w:pPr>
        <w:spacing w:after="0"/>
        <w:ind w:left="259"/>
      </w:pPr>
      <w:r>
        <w:rPr>
          <w:rFonts w:ascii="Consolas" w:hAnsi="Consolas"/>
          <w:color w:val="2C2925"/>
          <w:sz w:val="20"/>
        </w:rPr>
        <w:t>that gets restricted for it would be yours rather than mine.</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Here is what happens instead. I send you the approved posts, and</w:t>
      </w:r>
    </w:p>
    <w:p>
      <w:pPr>
        <w:spacing w:after="0"/>
        <w:ind w:left="259"/>
      </w:pPr>
      <w:r>
        <w:rPr>
          <w:rFonts w:ascii="Consolas" w:hAnsi="Consolas"/>
          <w:color w:val="2C2925"/>
          <w:sz w:val="20"/>
        </w:rPr>
        <w:t>once a month you spend about ten minutes scheduling them in your own</w:t>
      </w:r>
    </w:p>
    <w:p>
      <w:pPr>
        <w:spacing w:after="0"/>
        <w:ind w:left="259"/>
      </w:pPr>
      <w:r>
        <w:rPr>
          <w:rFonts w:ascii="Consolas" w:hAnsi="Consolas"/>
          <w:color w:val="2C2925"/>
          <w:sz w:val="20"/>
        </w:rPr>
        <w:t>composer. LinkedIn built the scheduler and gives it away. If you</w:t>
      </w:r>
    </w:p>
    <w:p>
      <w:pPr>
        <w:spacing w:after="0"/>
        <w:ind w:left="259"/>
      </w:pPr>
      <w:r>
        <w:rPr>
          <w:rFonts w:ascii="Consolas" w:hAnsi="Consolas"/>
          <w:color w:val="2C2925"/>
          <w:sz w:val="20"/>
        </w:rPr>
        <w:t>would rather not do even that, you can authorise a tool yourself,</w:t>
      </w:r>
    </w:p>
    <w:p>
      <w:pPr>
        <w:spacing w:after="0"/>
        <w:ind w:left="259"/>
      </w:pPr>
      <w:r>
        <w:rPr>
          <w:rFonts w:ascii="Consolas" w:hAnsi="Consolas"/>
          <w:color w:val="2C2925"/>
          <w:sz w:val="20"/>
        </w:rPr>
        <w:t>once, on your own account, through a normal sign-in screen. Either</w:t>
      </w:r>
    </w:p>
    <w:p>
      <w:pPr>
        <w:spacing w:after="160"/>
        <w:ind w:left="259"/>
      </w:pPr>
      <w:r>
        <w:rPr>
          <w:rFonts w:ascii="Consolas" w:hAnsi="Consolas"/>
          <w:color w:val="2C2925"/>
          <w:sz w:val="20"/>
        </w:rPr>
        <w:t>way your password stays yours.</w:t>
      </w:r>
    </w:p>
    <w:p>
      <w:pPr>
        <w:spacing w:before="240"/>
      </w:pPr>
      <w:r>
        <w:rPr>
          <w:rFonts w:ascii="Calibri" w:hAnsi="Calibri"/>
          <w:i/>
          <w:color w:val="8A7A6A"/>
          <w:sz w:val="18"/>
        </w:rPr>
        <w:t>Clause text checked against the LinkedIn User Agreement, effective 3 November 2025. Check the live page before you quote a clause number to a client.</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