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lgs-monthly-report-template</w:t>
      </w:r>
    </w:p>
    <w:p>
      <w:pPr>
        <w:spacing w:after="40"/>
      </w:pPr>
      <w:r>
        <w:rPr>
          <w:rFonts w:ascii="Georgia" w:hAnsi="Georgia"/>
          <w:b/>
          <w:color w:val="13100E"/>
          <w:sz w:val="48"/>
        </w:rPr>
        <w:t>The Monthly Report Template</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Clients rarely leave because the posts were bad. They leave because three months went by and nobody told them what happened, and the fee turned into a subscription they had forgotten the reason for. The report is not administration. It is what makes the invoice make sense, and it takes about twenty minutes.</w:t>
      </w:r>
    </w:p>
    <w:p>
      <w:pPr>
        <w:spacing w:before="200" w:after="80"/>
      </w:pPr>
      <w:r>
        <w:rPr>
          <w:rFonts w:ascii="Georgia" w:hAnsi="Georgia"/>
          <w:b/>
          <w:color w:val="FA8A11"/>
          <w:sz w:val="28"/>
        </w:rPr>
        <w:t>Where the numbers come from</w:t>
      </w:r>
    </w:p>
    <w:p>
      <w:pPr>
        <w:spacing w:after="120"/>
      </w:pPr>
      <w:r>
        <w:rPr>
          <w:rFonts w:ascii="Calibri" w:hAnsi="Calibri"/>
          <w:i w:val="0"/>
          <w:color w:val="2C2925"/>
          <w:sz w:val="22"/>
        </w:rPr>
        <w:t>Reading a member's own post data back out through the platform is a restricted permission, available to approved partners only. So for a personal profile you cannot plug in and pull the numbers, and anybody offering you a dashboard that does it for a personal profile is either an approved partner or is signing in as your client.</w:t>
      </w:r>
    </w:p>
    <w:p>
      <w:pPr>
        <w:spacing w:after="120"/>
      </w:pPr>
      <w:r>
        <w:rPr>
          <w:rFonts w:ascii="Calibri" w:hAnsi="Calibri"/>
          <w:i w:val="0"/>
          <w:color w:val="2C2925"/>
          <w:sz w:val="22"/>
        </w:rPr>
        <w:t>Your client can see all of it on their own account. You asked for the export once, in week one, and it arrives on the first of the month.</w:t>
      </w:r>
    </w:p>
    <w:p>
      <w:pPr>
        <w:spacing w:before="200" w:after="80"/>
      </w:pPr>
      <w:r>
        <w:rPr>
          <w:rFonts w:ascii="Georgia" w:hAnsi="Georgia"/>
          <w:b/>
          <w:color w:val="FA8A11"/>
          <w:sz w:val="28"/>
        </w:rPr>
        <w:t>The three numbers that mean something</w:t>
      </w:r>
    </w:p>
    <w:tbl>
      <w:tblPr>
        <w:tblStyle w:val="TableGrid"/>
        <w:tblW w:type="auto" w:w="0"/>
        <w:tblLayout w:type="fixed"/>
        <w:tblLook w:firstColumn="1" w:firstRow="1" w:lastColumn="0" w:lastRow="0" w:noHBand="0" w:noVBand="1" w:val="04A0"/>
      </w:tblPr>
      <w:tblGrid>
        <w:gridCol w:w="3213"/>
        <w:gridCol w:w="3213"/>
        <w:gridCol w:w="3213"/>
      </w:tblGrid>
      <w:tr>
        <w:tc>
          <w:tcPr>
            <w:tcW w:type="dxa" w:w="2448"/>
          </w:tcPr>
          <w:p>
            <w:r>
              <w:rPr>
                <w:rFonts w:ascii="Calibri" w:hAnsi="Calibri"/>
                <w:b/>
                <w:color w:val="FA8A11"/>
                <w:sz w:val="19"/>
              </w:rPr>
              <w:t>Number</w:t>
            </w:r>
          </w:p>
        </w:tc>
        <w:tc>
          <w:tcPr>
            <w:tcW w:type="dxa" w:w="3312"/>
          </w:tcPr>
          <w:p>
            <w:r>
              <w:rPr>
                <w:rFonts w:ascii="Calibri" w:hAnsi="Calibri"/>
                <w:b/>
                <w:color w:val="FA8A11"/>
                <w:sz w:val="19"/>
              </w:rPr>
              <w:t>What it is</w:t>
            </w:r>
          </w:p>
        </w:tc>
        <w:tc>
          <w:tcPr>
            <w:tcW w:type="dxa" w:w="3888"/>
          </w:tcPr>
          <w:p>
            <w:r>
              <w:rPr>
                <w:rFonts w:ascii="Calibri" w:hAnsi="Calibri"/>
                <w:b/>
                <w:color w:val="FA8A11"/>
                <w:sz w:val="19"/>
              </w:rPr>
              <w:t>What it tells you</w:t>
            </w:r>
          </w:p>
        </w:tc>
      </w:tr>
      <w:tr>
        <w:tc>
          <w:tcPr>
            <w:tcW w:type="dxa" w:w="2448"/>
          </w:tcPr>
          <w:p>
            <w:r>
              <w:rPr>
                <w:rFonts w:ascii="Calibri" w:hAnsi="Calibri"/>
                <w:color w:val="2C2925"/>
                <w:sz w:val="19"/>
              </w:rPr>
              <w:t>Members reached</w:t>
            </w:r>
          </w:p>
        </w:tc>
        <w:tc>
          <w:tcPr>
            <w:tcW w:type="dxa" w:w="3312"/>
          </w:tcPr>
          <w:p>
            <w:r>
              <w:rPr>
                <w:rFonts w:ascii="Calibri" w:hAnsi="Calibri"/>
                <w:color w:val="2C2925"/>
                <w:sz w:val="19"/>
              </w:rPr>
              <w:t>The number of distinct people who saw it.</w:t>
            </w:r>
          </w:p>
        </w:tc>
        <w:tc>
          <w:tcPr>
            <w:tcW w:type="dxa" w:w="3888"/>
          </w:tcPr>
          <w:p>
            <w:r>
              <w:rPr>
                <w:rFonts w:ascii="Calibri" w:hAnsi="Calibri"/>
                <w:color w:val="2C2925"/>
                <w:sz w:val="19"/>
              </w:rPr>
              <w:t>The distribution number. Whether the platform showed the post to people beyond the ones who already follow them. When this rises across a month, the work is landing.</w:t>
            </w:r>
          </w:p>
        </w:tc>
      </w:tr>
      <w:tr>
        <w:tc>
          <w:tcPr>
            <w:tcW w:type="dxa" w:w="2448"/>
          </w:tcPr>
          <w:p>
            <w:r>
              <w:rPr>
                <w:rFonts w:ascii="Calibri" w:hAnsi="Calibri"/>
                <w:color w:val="2C2925"/>
                <w:sz w:val="19"/>
              </w:rPr>
              <w:t>Profile views in the days after a post</w:t>
            </w:r>
          </w:p>
        </w:tc>
        <w:tc>
          <w:tcPr>
            <w:tcW w:type="dxa" w:w="3312"/>
          </w:tcPr>
          <w:p>
            <w:r>
              <w:rPr>
                <w:rFonts w:ascii="Calibri" w:hAnsi="Calibri"/>
                <w:color w:val="2C2925"/>
                <w:sz w:val="19"/>
              </w:rPr>
              <w:t>Somebody read something and went to look at who wrote it.</w:t>
            </w:r>
          </w:p>
        </w:tc>
        <w:tc>
          <w:tcPr>
            <w:tcW w:type="dxa" w:w="3888"/>
          </w:tcPr>
          <w:p>
            <w:r>
              <w:rPr>
                <w:rFonts w:ascii="Calibri" w:hAnsi="Calibri"/>
                <w:color w:val="2C2925"/>
                <w:sz w:val="19"/>
              </w:rPr>
              <w:t>The intent number. For a client who sells expertise, it is the closest thing in the export to a person considering them.</w:t>
            </w:r>
          </w:p>
        </w:tc>
      </w:tr>
      <w:tr>
        <w:tc>
          <w:tcPr>
            <w:tcW w:type="dxa" w:w="2448"/>
          </w:tcPr>
          <w:p>
            <w:r>
              <w:rPr>
                <w:rFonts w:ascii="Calibri" w:hAnsi="Calibri"/>
                <w:color w:val="2C2925"/>
                <w:sz w:val="19"/>
              </w:rPr>
              <w:t>Who commented, not how many</w:t>
            </w:r>
          </w:p>
        </w:tc>
        <w:tc>
          <w:tcPr>
            <w:tcW w:type="dxa" w:w="3312"/>
          </w:tcPr>
          <w:p>
            <w:r>
              <w:rPr>
                <w:rFonts w:ascii="Calibri" w:hAnsi="Calibri"/>
                <w:color w:val="2C2925"/>
                <w:sz w:val="19"/>
              </w:rPr>
              <w:t>Read the names and what they do.</w:t>
            </w:r>
          </w:p>
        </w:tc>
        <w:tc>
          <w:tcPr>
            <w:tcW w:type="dxa" w:w="3888"/>
          </w:tcPr>
          <w:p>
            <w:r>
              <w:rPr>
                <w:rFonts w:ascii="Calibri" w:hAnsi="Calibri"/>
                <w:color w:val="2C2925"/>
                <w:sz w:val="19"/>
              </w:rPr>
              <w:t>Ten comments from other writers in your own trade is a nice afternoon. Two comments from the kind of person your client sells to is the month working.</w:t>
            </w:r>
          </w:p>
        </w:tc>
      </w:tr>
    </w:tbl>
    <w:p>
      <w:pPr>
        <w:spacing w:after="120"/>
      </w:pPr>
    </w:p>
    <w:p>
      <w:pPr>
        <w:spacing w:before="200" w:after="80"/>
      </w:pPr>
      <w:r>
        <w:rPr>
          <w:rFonts w:ascii="Georgia" w:hAnsi="Georgia"/>
          <w:b/>
          <w:color w:val="FA8A11"/>
          <w:sz w:val="28"/>
        </w:rPr>
        <w:t>The two that look important and are not</w:t>
      </w:r>
    </w:p>
    <w:p>
      <w:pPr>
        <w:spacing w:after="120"/>
      </w:pPr>
      <w:r>
        <w:rPr>
          <w:rFonts w:ascii="Calibri" w:hAnsi="Calibri"/>
          <w:i w:val="0"/>
          <w:color w:val="2C2925"/>
          <w:sz w:val="22"/>
        </w:rPr>
        <w:t>These will be the largest numbers on the page and neither should lead your report.</w:t>
      </w:r>
    </w:p>
    <w:tbl>
      <w:tblPr>
        <w:tblStyle w:val="TableGrid"/>
        <w:tblW w:type="auto" w:w="0"/>
        <w:tblLayout w:type="fixed"/>
        <w:tblLook w:firstColumn="1" w:firstRow="1" w:lastColumn="0" w:lastRow="0" w:noHBand="0" w:noVBand="1" w:val="04A0"/>
      </w:tblPr>
      <w:tblGrid>
        <w:gridCol w:w="4819"/>
        <w:gridCol w:w="4819"/>
      </w:tblGrid>
      <w:tr>
        <w:tc>
          <w:tcPr>
            <w:tcW w:type="dxa" w:w="2448"/>
          </w:tcPr>
          <w:p>
            <w:r>
              <w:rPr>
                <w:rFonts w:ascii="Calibri" w:hAnsi="Calibri"/>
                <w:b/>
                <w:color w:val="FA8A11"/>
                <w:sz w:val="19"/>
              </w:rPr>
              <w:t>Number</w:t>
            </w:r>
          </w:p>
        </w:tc>
        <w:tc>
          <w:tcPr>
            <w:tcW w:type="dxa" w:w="7200"/>
          </w:tcPr>
          <w:p>
            <w:r>
              <w:rPr>
                <w:rFonts w:ascii="Calibri" w:hAnsi="Calibri"/>
                <w:b/>
                <w:color w:val="FA8A11"/>
                <w:sz w:val="19"/>
              </w:rPr>
              <w:t>Why not</w:t>
            </w:r>
          </w:p>
        </w:tc>
      </w:tr>
      <w:tr>
        <w:tc>
          <w:tcPr>
            <w:tcW w:type="dxa" w:w="2448"/>
          </w:tcPr>
          <w:p>
            <w:r>
              <w:rPr>
                <w:rFonts w:ascii="Calibri" w:hAnsi="Calibri"/>
                <w:color w:val="2C2925"/>
                <w:sz w:val="19"/>
              </w:rPr>
              <w:t>Impressions</w:t>
            </w:r>
          </w:p>
        </w:tc>
        <w:tc>
          <w:tcPr>
            <w:tcW w:type="dxa" w:w="7200"/>
          </w:tcPr>
          <w:p>
            <w:r>
              <w:rPr>
                <w:rFonts w:ascii="Calibri" w:hAnsi="Calibri"/>
                <w:color w:val="2C2925"/>
                <w:sz w:val="19"/>
              </w:rPr>
              <w:t>It counts views rather than people, so one person scrolling past the same post three times is three impressions. It is always the biggest number in the export, which is exactly why it is the one people put at the top of reports.</w:t>
            </w:r>
          </w:p>
        </w:tc>
      </w:tr>
      <w:tr>
        <w:tc>
          <w:tcPr>
            <w:tcW w:type="dxa" w:w="2448"/>
          </w:tcPr>
          <w:p>
            <w:r>
              <w:rPr>
                <w:rFonts w:ascii="Calibri" w:hAnsi="Calibri"/>
                <w:color w:val="2C2925"/>
                <w:sz w:val="19"/>
              </w:rPr>
              <w:t>Reactions</w:t>
            </w:r>
          </w:p>
        </w:tc>
        <w:tc>
          <w:tcPr>
            <w:tcW w:type="dxa" w:w="7200"/>
          </w:tcPr>
          <w:p>
            <w:r>
              <w:rPr>
                <w:rFonts w:ascii="Calibri" w:hAnsi="Calibri"/>
                <w:color w:val="2C2925"/>
                <w:sz w:val="19"/>
              </w:rPr>
              <w:t>The cheapest action on the platform, the easiest thing to inflate with exactly the kind of post LinkedIn said in March 2026 it is reducing, and it tells you almost nothing about whether the right person read it.</w:t>
            </w:r>
          </w:p>
        </w:tc>
      </w:tr>
    </w:tbl>
    <w:p>
      <w:pPr>
        <w:spacing w:after="120"/>
      </w:pPr>
    </w:p>
    <w:p>
      <w:pPr>
        <w:spacing w:before="120" w:after="160"/>
        <w:ind w:left="259"/>
      </w:pPr>
      <w:r>
        <w:rPr>
          <w:rFonts w:ascii="Calibri" w:hAnsi="Calibri"/>
          <w:b/>
          <w:color w:val="FA8A11"/>
          <w:sz w:val="22"/>
        </w:rPr>
        <w:t>Report the number that means something, even when it is smaller.</w:t>
      </w:r>
    </w:p>
    <w:p>
      <w:pPr>
        <w:spacing w:after="120"/>
      </w:pPr>
      <w:r>
        <w:rPr>
          <w:rFonts w:ascii="Calibri" w:hAnsi="Calibri"/>
          <w:i w:val="0"/>
          <w:color w:val="2C2925"/>
          <w:sz w:val="22"/>
        </w:rPr>
        <w:t>Clients work this out eventually, and the ones who work it out after you told them trust everything else in the report.</w:t>
      </w:r>
    </w:p>
    <w:p>
      <w:pPr>
        <w:spacing w:before="200" w:after="80"/>
      </w:pPr>
      <w:r>
        <w:rPr>
          <w:rFonts w:ascii="Georgia" w:hAnsi="Georgia"/>
          <w:b/>
          <w:color w:val="FA8A11"/>
          <w:sz w:val="28"/>
        </w:rPr>
        <w:t>The number that is not in the export</w:t>
      </w:r>
    </w:p>
    <w:p>
      <w:pPr>
        <w:spacing w:after="120"/>
      </w:pPr>
      <w:r>
        <w:rPr>
          <w:rFonts w:ascii="Calibri" w:hAnsi="Calibri"/>
          <w:i w:val="0"/>
          <w:color w:val="2C2925"/>
          <w:sz w:val="22"/>
        </w:rPr>
        <w:t>The number that decides whether they renew is not in the export at all, because the platform cannot see it. So ask one question with the report, every month.</w:t>
      </w:r>
    </w:p>
    <w:p>
      <w:pPr>
        <w:spacing w:before="120" w:after="160"/>
        <w:ind w:left="259"/>
      </w:pPr>
      <w:r>
        <w:rPr>
          <w:rFonts w:ascii="Calibri" w:hAnsi="Calibri"/>
          <w:b/>
          <w:color w:val="FA8A11"/>
          <w:sz w:val="22"/>
        </w:rPr>
        <w:t>Has anybody mentioned a post to you.</w:t>
      </w:r>
    </w:p>
    <w:p>
      <w:pPr>
        <w:spacing w:after="120"/>
      </w:pPr>
      <w:r>
        <w:rPr>
          <w:rFonts w:ascii="Calibri" w:hAnsi="Calibri"/>
          <w:i w:val="0"/>
          <w:color w:val="2C2925"/>
          <w:sz w:val="22"/>
        </w:rPr>
        <w:t>A client saying that somebody brought one up on a call is worth more than every figure on the page, and it is the sentence you will quote back to them when you raise your rate. Write those down somewhere permanent, because they accumulate and they are the only proof of business outcome you are ever going to get.</w:t>
      </w:r>
    </w:p>
    <w:p>
      <w:r>
        <w:br w:type="page"/>
      </w:r>
    </w:p>
    <w:p>
      <w:pPr>
        <w:spacing w:after="40"/>
      </w:pPr>
      <w:r>
        <w:rPr>
          <w:rFonts w:ascii="Georgia" w:hAnsi="Georgia"/>
          <w:b/>
          <w:color w:val="13100E"/>
          <w:sz w:val="48"/>
        </w:rPr>
        <w:t>Monthly Report</w:t>
      </w:r>
    </w:p>
    <w:p>
      <w:pPr>
        <w:spacing w:after="200"/>
      </w:pPr>
      <w:r>
        <w:rPr>
          <w:rFonts w:ascii="Calibri" w:hAnsi="Calibri"/>
          <w:color w:val="8A7A6A"/>
          <w:sz w:val="22"/>
        </w:rPr>
        <w:t>Prepared for - IdeasRepay Blueprint #05</w:t>
      </w:r>
    </w:p>
    <w:p>
      <w:pPr>
        <w:spacing w:after="60"/>
      </w:pPr>
      <w:r>
        <w:rPr>
          <w:rFonts w:ascii="Calibri" w:hAnsi="Calibri"/>
          <w:b/>
          <w:color w:val="13100E"/>
          <w:sz w:val="22"/>
        </w:rPr>
        <w:t xml:space="preserve">Client  </w:t>
      </w:r>
      <w:r>
        <w:rPr>
          <w:rFonts w:ascii="Calibri" w:hAnsi="Calibri"/>
          <w:color w:val="8A7A6A"/>
          <w:sz w:val="22"/>
        </w:rPr>
        <w:t>__________________________</w:t>
      </w:r>
    </w:p>
    <w:p>
      <w:pPr>
        <w:spacing w:after="60"/>
      </w:pPr>
      <w:r>
        <w:rPr>
          <w:rFonts w:ascii="Calibri" w:hAnsi="Calibri"/>
          <w:b/>
          <w:color w:val="13100E"/>
          <w:sz w:val="22"/>
        </w:rPr>
        <w:t xml:space="preserve">Month  </w:t>
      </w:r>
      <w:r>
        <w:rPr>
          <w:rFonts w:ascii="Calibri" w:hAnsi="Calibri"/>
          <w:color w:val="8A7A6A"/>
          <w:sz w:val="22"/>
        </w:rPr>
        <w:t>__________________________</w:t>
      </w:r>
    </w:p>
    <w:p>
      <w:pPr>
        <w:spacing w:after="60"/>
      </w:pPr>
      <w:r>
        <w:rPr>
          <w:rFonts w:ascii="Calibri" w:hAnsi="Calibri"/>
          <w:b/>
          <w:color w:val="13100E"/>
          <w:sz w:val="22"/>
        </w:rPr>
        <w:t xml:space="preserve">Posts published  </w:t>
      </w:r>
      <w:r>
        <w:rPr>
          <w:rFonts w:ascii="Calibri" w:hAnsi="Calibri"/>
          <w:color w:val="8A7A6A"/>
          <w:sz w:val="22"/>
        </w:rPr>
        <w:t>__________________________</w:t>
      </w:r>
    </w:p>
    <w:p>
      <w:pPr>
        <w:spacing w:before="200" w:after="80"/>
      </w:pPr>
      <w:r>
        <w:rPr>
          <w:rFonts w:ascii="Georgia" w:hAnsi="Georgia"/>
          <w:b/>
          <w:color w:val="FA8A11"/>
          <w:sz w:val="28"/>
        </w:rPr>
        <w:t>1.  What went out</w:t>
      </w:r>
    </w:p>
    <w:p>
      <w:pPr>
        <w:spacing w:after="160"/>
        <w:ind w:left="648"/>
      </w:pPr>
      <w:r>
        <w:rPr>
          <w:rFonts w:ascii="Calibri" w:hAnsi="Calibri"/>
          <w:i/>
          <w:color w:val="8A7A6A"/>
          <w:sz w:val="19"/>
        </w:rPr>
        <w:t>Listed, with dates. This section quietly proves the work happened.</w:t>
      </w:r>
    </w:p>
    <w:tbl>
      <w:tblPr>
        <w:tblStyle w:val="TableGrid"/>
        <w:tblW w:type="auto" w:w="0"/>
        <w:tblLayout w:type="fixed"/>
        <w:tblLook w:firstColumn="1" w:firstRow="1" w:lastColumn="0" w:lastRow="0" w:noHBand="0" w:noVBand="1" w:val="04A0"/>
      </w:tblPr>
      <w:tblGrid>
        <w:gridCol w:w="1928"/>
        <w:gridCol w:w="1928"/>
        <w:gridCol w:w="1928"/>
        <w:gridCol w:w="1928"/>
        <w:gridCol w:w="1928"/>
      </w:tblGrid>
      <w:tr>
        <w:tc>
          <w:tcPr>
            <w:tcW w:type="dxa" w:w="1296"/>
          </w:tcPr>
          <w:p>
            <w:r>
              <w:rPr>
                <w:rFonts w:ascii="Calibri" w:hAnsi="Calibri"/>
                <w:b/>
                <w:color w:val="FA8A11"/>
                <w:sz w:val="19"/>
              </w:rPr>
              <w:t>Date</w:t>
            </w:r>
          </w:p>
        </w:tc>
        <w:tc>
          <w:tcPr>
            <w:tcW w:type="dxa" w:w="4464"/>
          </w:tcPr>
          <w:p>
            <w:r>
              <w:rPr>
                <w:rFonts w:ascii="Calibri" w:hAnsi="Calibri"/>
                <w:b/>
                <w:color w:val="FA8A11"/>
                <w:sz w:val="19"/>
              </w:rPr>
              <w:t>Post, by its first line</w:t>
            </w:r>
          </w:p>
        </w:tc>
        <w:tc>
          <w:tcPr>
            <w:tcW w:type="dxa" w:w="1584"/>
          </w:tcPr>
          <w:p>
            <w:r>
              <w:rPr>
                <w:rFonts w:ascii="Calibri" w:hAnsi="Calibri"/>
                <w:b/>
                <w:color w:val="FA8A11"/>
                <w:sz w:val="19"/>
              </w:rPr>
              <w:t>Shape</w:t>
            </w:r>
          </w:p>
        </w:tc>
        <w:tc>
          <w:tcPr>
            <w:tcW w:type="dxa" w:w="1224"/>
          </w:tcPr>
          <w:p>
            <w:r>
              <w:rPr>
                <w:rFonts w:ascii="Calibri" w:hAnsi="Calibri"/>
                <w:b/>
                <w:color w:val="FA8A11"/>
                <w:sz w:val="19"/>
              </w:rPr>
              <w:t>Reached</w:t>
            </w:r>
          </w:p>
        </w:tc>
        <w:tc>
          <w:tcPr>
            <w:tcW w:type="dxa" w:w="1440"/>
          </w:tcPr>
          <w:p>
            <w:r>
              <w:rPr>
                <w:rFonts w:ascii="Calibri" w:hAnsi="Calibri"/>
                <w:b/>
                <w:color w:val="FA8A11"/>
                <w:sz w:val="19"/>
              </w:rPr>
              <w:t>Profile views</w:t>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r>
        <w:tc>
          <w:tcPr>
            <w:tcW w:type="dxa" w:w="1296"/>
          </w:tcPr>
          <w:p>
            <w:r>
              <w:rPr>
                <w:rFonts w:ascii="Calibri" w:hAnsi="Calibri"/>
                <w:color w:val="2C2925"/>
                <w:sz w:val="19"/>
              </w:rPr>
            </w:r>
          </w:p>
        </w:tc>
        <w:tc>
          <w:tcPr>
            <w:tcW w:type="dxa" w:w="4464"/>
          </w:tcPr>
          <w:p>
            <w:r>
              <w:rPr>
                <w:rFonts w:ascii="Calibri" w:hAnsi="Calibri"/>
                <w:color w:val="2C2925"/>
                <w:sz w:val="19"/>
              </w:rPr>
            </w:r>
          </w:p>
        </w:tc>
        <w:tc>
          <w:tcPr>
            <w:tcW w:type="dxa" w:w="1584"/>
          </w:tcPr>
          <w:p>
            <w:r>
              <w:rPr>
                <w:rFonts w:ascii="Calibri" w:hAnsi="Calibri"/>
                <w:color w:val="2C2925"/>
                <w:sz w:val="19"/>
              </w:rPr>
            </w:r>
          </w:p>
        </w:tc>
        <w:tc>
          <w:tcPr>
            <w:tcW w:type="dxa" w:w="1224"/>
          </w:tcPr>
          <w:p>
            <w:r>
              <w:rPr>
                <w:rFonts w:ascii="Calibri" w:hAnsi="Calibri"/>
                <w:color w:val="2C2925"/>
                <w:sz w:val="19"/>
              </w:rPr>
            </w:r>
          </w:p>
        </w:tc>
        <w:tc>
          <w:tcPr>
            <w:tcW w:type="dxa" w:w="1440"/>
          </w:tcPr>
          <w:p>
            <w:r>
              <w:rPr>
                <w:rFonts w:ascii="Calibri" w:hAnsi="Calibri"/>
                <w:color w:val="2C2925"/>
                <w:sz w:val="19"/>
              </w:rPr>
            </w:r>
          </w:p>
        </w:tc>
      </w:tr>
    </w:tbl>
    <w:p>
      <w:pPr>
        <w:spacing w:after="120"/>
      </w:pPr>
    </w:p>
    <w:p>
      <w:pPr>
        <w:spacing w:before="200" w:after="80"/>
      </w:pPr>
      <w:r>
        <w:rPr>
          <w:rFonts w:ascii="Georgia" w:hAnsi="Georgia"/>
          <w:b/>
          <w:color w:val="FA8A11"/>
          <w:sz w:val="28"/>
        </w:rPr>
        <w:t>2.  What the three numbers did</w:t>
      </w:r>
    </w:p>
    <w:p>
      <w:pPr>
        <w:spacing w:after="160"/>
        <w:ind w:left="648"/>
      </w:pPr>
      <w:r>
        <w:rPr>
          <w:rFonts w:ascii="Calibri" w:hAnsi="Calibri"/>
          <w:i/>
          <w:color w:val="8A7A6A"/>
          <w:sz w:val="19"/>
        </w:rPr>
        <w:t>Against last month rather than against nothing.</w:t>
      </w:r>
    </w:p>
    <w:tbl>
      <w:tblPr>
        <w:tblStyle w:val="TableGrid"/>
        <w:tblW w:type="auto" w:w="0"/>
        <w:tblLayout w:type="fixed"/>
        <w:tblLook w:firstColumn="1" w:firstRow="1" w:lastColumn="0" w:lastRow="0" w:noHBand="0" w:noVBand="1" w:val="04A0"/>
      </w:tblPr>
      <w:tblGrid>
        <w:gridCol w:w="2409"/>
        <w:gridCol w:w="2409"/>
        <w:gridCol w:w="2409"/>
        <w:gridCol w:w="2409"/>
      </w:tblGrid>
      <w:tr>
        <w:tc>
          <w:tcPr>
            <w:tcW w:type="dxa" w:w="3744"/>
          </w:tcPr>
          <w:p>
            <w:r>
              <w:rPr>
                <w:rFonts w:ascii="Calibri" w:hAnsi="Calibri"/>
                <w:b/>
                <w:color w:val="FA8A11"/>
                <w:sz w:val="19"/>
              </w:rPr>
            </w:r>
          </w:p>
        </w:tc>
        <w:tc>
          <w:tcPr>
            <w:tcW w:type="dxa" w:w="1944"/>
          </w:tcPr>
          <w:p>
            <w:r>
              <w:rPr>
                <w:rFonts w:ascii="Calibri" w:hAnsi="Calibri"/>
                <w:b/>
                <w:color w:val="FA8A11"/>
                <w:sz w:val="19"/>
              </w:rPr>
              <w:t>Last month</w:t>
            </w:r>
          </w:p>
        </w:tc>
        <w:tc>
          <w:tcPr>
            <w:tcW w:type="dxa" w:w="1944"/>
          </w:tcPr>
          <w:p>
            <w:r>
              <w:rPr>
                <w:rFonts w:ascii="Calibri" w:hAnsi="Calibri"/>
                <w:b/>
                <w:color w:val="FA8A11"/>
                <w:sz w:val="19"/>
              </w:rPr>
              <w:t>This month</w:t>
            </w:r>
          </w:p>
        </w:tc>
        <w:tc>
          <w:tcPr>
            <w:tcW w:type="dxa" w:w="2016"/>
          </w:tcPr>
          <w:p>
            <w:r>
              <w:rPr>
                <w:rFonts w:ascii="Calibri" w:hAnsi="Calibri"/>
                <w:b/>
                <w:color w:val="FA8A11"/>
                <w:sz w:val="19"/>
              </w:rPr>
              <w:t>Change</w:t>
            </w:r>
          </w:p>
        </w:tc>
      </w:tr>
      <w:tr>
        <w:tc>
          <w:tcPr>
            <w:tcW w:type="dxa" w:w="3744"/>
          </w:tcPr>
          <w:p>
            <w:r>
              <w:rPr>
                <w:rFonts w:ascii="Calibri" w:hAnsi="Calibri"/>
                <w:color w:val="2C2925"/>
                <w:sz w:val="19"/>
              </w:rPr>
              <w:t>Members reached, total</w:t>
            </w:r>
          </w:p>
        </w:tc>
        <w:tc>
          <w:tcPr>
            <w:tcW w:type="dxa" w:w="1944"/>
          </w:tcPr>
          <w:p>
            <w:r>
              <w:rPr>
                <w:rFonts w:ascii="Calibri" w:hAnsi="Calibri"/>
                <w:color w:val="2C2925"/>
                <w:sz w:val="19"/>
              </w:rPr>
            </w:r>
          </w:p>
        </w:tc>
        <w:tc>
          <w:tcPr>
            <w:tcW w:type="dxa" w:w="1944"/>
          </w:tcPr>
          <w:p>
            <w:r>
              <w:rPr>
                <w:rFonts w:ascii="Calibri" w:hAnsi="Calibri"/>
                <w:color w:val="2C2925"/>
                <w:sz w:val="19"/>
              </w:rPr>
            </w:r>
          </w:p>
        </w:tc>
        <w:tc>
          <w:tcPr>
            <w:tcW w:type="dxa" w:w="2016"/>
          </w:tcPr>
          <w:p>
            <w:r>
              <w:rPr>
                <w:rFonts w:ascii="Calibri" w:hAnsi="Calibri"/>
                <w:color w:val="2C2925"/>
                <w:sz w:val="19"/>
              </w:rPr>
            </w:r>
          </w:p>
        </w:tc>
      </w:tr>
      <w:tr>
        <w:tc>
          <w:tcPr>
            <w:tcW w:type="dxa" w:w="3744"/>
          </w:tcPr>
          <w:p>
            <w:r>
              <w:rPr>
                <w:rFonts w:ascii="Calibri" w:hAnsi="Calibri"/>
                <w:color w:val="2C2925"/>
                <w:sz w:val="19"/>
              </w:rPr>
              <w:t>Members reached, best post</w:t>
            </w:r>
          </w:p>
        </w:tc>
        <w:tc>
          <w:tcPr>
            <w:tcW w:type="dxa" w:w="1944"/>
          </w:tcPr>
          <w:p>
            <w:r>
              <w:rPr>
                <w:rFonts w:ascii="Calibri" w:hAnsi="Calibri"/>
                <w:color w:val="2C2925"/>
                <w:sz w:val="19"/>
              </w:rPr>
            </w:r>
          </w:p>
        </w:tc>
        <w:tc>
          <w:tcPr>
            <w:tcW w:type="dxa" w:w="1944"/>
          </w:tcPr>
          <w:p>
            <w:r>
              <w:rPr>
                <w:rFonts w:ascii="Calibri" w:hAnsi="Calibri"/>
                <w:color w:val="2C2925"/>
                <w:sz w:val="19"/>
              </w:rPr>
            </w:r>
          </w:p>
        </w:tc>
        <w:tc>
          <w:tcPr>
            <w:tcW w:type="dxa" w:w="2016"/>
          </w:tcPr>
          <w:p>
            <w:r>
              <w:rPr>
                <w:rFonts w:ascii="Calibri" w:hAnsi="Calibri"/>
                <w:color w:val="2C2925"/>
                <w:sz w:val="19"/>
              </w:rPr>
            </w:r>
          </w:p>
        </w:tc>
      </w:tr>
      <w:tr>
        <w:tc>
          <w:tcPr>
            <w:tcW w:type="dxa" w:w="3744"/>
          </w:tcPr>
          <w:p>
            <w:r>
              <w:rPr>
                <w:rFonts w:ascii="Calibri" w:hAnsi="Calibri"/>
                <w:color w:val="2C2925"/>
                <w:sz w:val="19"/>
              </w:rPr>
              <w:t>Profile views</w:t>
            </w:r>
          </w:p>
        </w:tc>
        <w:tc>
          <w:tcPr>
            <w:tcW w:type="dxa" w:w="1944"/>
          </w:tcPr>
          <w:p>
            <w:r>
              <w:rPr>
                <w:rFonts w:ascii="Calibri" w:hAnsi="Calibri"/>
                <w:color w:val="2C2925"/>
                <w:sz w:val="19"/>
              </w:rPr>
            </w:r>
          </w:p>
        </w:tc>
        <w:tc>
          <w:tcPr>
            <w:tcW w:type="dxa" w:w="1944"/>
          </w:tcPr>
          <w:p>
            <w:r>
              <w:rPr>
                <w:rFonts w:ascii="Calibri" w:hAnsi="Calibri"/>
                <w:color w:val="2C2925"/>
                <w:sz w:val="19"/>
              </w:rPr>
            </w:r>
          </w:p>
        </w:tc>
        <w:tc>
          <w:tcPr>
            <w:tcW w:type="dxa" w:w="2016"/>
          </w:tcPr>
          <w:p>
            <w:r>
              <w:rPr>
                <w:rFonts w:ascii="Calibri" w:hAnsi="Calibri"/>
                <w:color w:val="2C2925"/>
                <w:sz w:val="19"/>
              </w:rPr>
            </w:r>
          </w:p>
        </w:tc>
      </w:tr>
      <w:tr>
        <w:tc>
          <w:tcPr>
            <w:tcW w:type="dxa" w:w="3744"/>
          </w:tcPr>
          <w:p>
            <w:r>
              <w:rPr>
                <w:rFonts w:ascii="Calibri" w:hAnsi="Calibri"/>
                <w:color w:val="2C2925"/>
                <w:sz w:val="19"/>
              </w:rPr>
              <w:t>Comments from people they sell to</w:t>
            </w:r>
          </w:p>
        </w:tc>
        <w:tc>
          <w:tcPr>
            <w:tcW w:type="dxa" w:w="1944"/>
          </w:tcPr>
          <w:p>
            <w:r>
              <w:rPr>
                <w:rFonts w:ascii="Calibri" w:hAnsi="Calibri"/>
                <w:color w:val="2C2925"/>
                <w:sz w:val="19"/>
              </w:rPr>
            </w:r>
          </w:p>
        </w:tc>
        <w:tc>
          <w:tcPr>
            <w:tcW w:type="dxa" w:w="1944"/>
          </w:tcPr>
          <w:p>
            <w:r>
              <w:rPr>
                <w:rFonts w:ascii="Calibri" w:hAnsi="Calibri"/>
                <w:color w:val="2C2925"/>
                <w:sz w:val="19"/>
              </w:rPr>
            </w:r>
          </w:p>
        </w:tc>
        <w:tc>
          <w:tcPr>
            <w:tcW w:type="dxa" w:w="2016"/>
          </w:tcPr>
          <w:p>
            <w:r>
              <w:rPr>
                <w:rFonts w:ascii="Calibri" w:hAnsi="Calibri"/>
                <w:color w:val="2C2925"/>
                <w:sz w:val="19"/>
              </w:rPr>
            </w:r>
          </w:p>
        </w:tc>
      </w:tr>
    </w:tbl>
    <w:p>
      <w:pPr>
        <w:spacing w:after="120"/>
      </w:pPr>
    </w:p>
    <w:p>
      <w:pPr>
        <w:spacing w:after="60"/>
      </w:pPr>
      <w:r>
        <w:rPr>
          <w:rFonts w:ascii="Calibri" w:hAnsi="Calibri"/>
          <w:b/>
          <w:color w:val="13100E"/>
          <w:sz w:val="22"/>
        </w:rPr>
        <w:t xml:space="preserve">What the two best posts had in common  </w:t>
      </w:r>
      <w:r>
        <w:rPr>
          <w:rFonts w:ascii="Calibri" w:hAnsi="Calibri"/>
          <w:color w:val="8A7A6A"/>
          <w:sz w:val="22"/>
        </w:rPr>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3.  What I learned about your voice</w:t>
      </w:r>
    </w:p>
    <w:p>
      <w:pPr>
        <w:spacing w:after="160"/>
        <w:ind w:left="648"/>
      </w:pPr>
      <w:r>
        <w:rPr>
          <w:rFonts w:ascii="Calibri" w:hAnsi="Calibri"/>
          <w:i/>
          <w:color w:val="8A7A6A"/>
          <w:sz w:val="19"/>
        </w:rPr>
        <w:t>Two or three sentences, taken from the running correction list in the voice brief. Clients read this one twice, because it is usually the only evidence anybody has given them that somebody is paying attention to how they talk.</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4.  What I am doing differently next month</w:t>
      </w:r>
    </w:p>
    <w:p>
      <w:pPr>
        <w:spacing w:after="160"/>
        <w:ind w:left="648"/>
      </w:pPr>
      <w:r>
        <w:rPr>
          <w:rFonts w:ascii="Calibri" w:hAnsi="Calibri"/>
          <w:i/>
          <w:color w:val="8A7A6A"/>
          <w:sz w:val="19"/>
        </w:rPr>
        <w:t>Stated as a decision rather than an option.</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200" w:after="80"/>
      </w:pPr>
      <w:r>
        <w:rPr>
          <w:rFonts w:ascii="Georgia" w:hAnsi="Georgia"/>
          <w:b/>
          <w:color w:val="FA8A11"/>
          <w:sz w:val="28"/>
        </w:rPr>
        <w:t>And one question</w:t>
      </w:r>
    </w:p>
    <w:p>
      <w:pPr>
        <w:spacing w:after="120"/>
      </w:pPr>
      <w:r>
        <w:rPr>
          <w:rFonts w:ascii="Calibri" w:hAnsi="Calibri"/>
          <w:i w:val="0"/>
          <w:color w:val="2C2925"/>
          <w:sz w:val="22"/>
        </w:rPr>
        <w:t>Has anybody mentioned a post to you this month. A client, someone at an event, anybody. Even in passing.</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r>
        <w:br w:type="page"/>
      </w:r>
    </w:p>
    <w:p>
      <w:pPr>
        <w:spacing w:before="200" w:after="80"/>
      </w:pPr>
      <w:r>
        <w:rPr>
          <w:rFonts w:ascii="Georgia" w:hAnsi="Georgia"/>
          <w:b/>
          <w:color w:val="FA8A11"/>
          <w:sz w:val="28"/>
        </w:rPr>
        <w:t>Month one, when there is nothing to compare against</w:t>
      </w:r>
    </w:p>
    <w:p>
      <w:pPr>
        <w:spacing w:after="120"/>
      </w:pPr>
      <w:r>
        <w:rPr>
          <w:rFonts w:ascii="Calibri" w:hAnsi="Calibri"/>
          <w:i w:val="0"/>
          <w:color w:val="2C2925"/>
          <w:sz w:val="22"/>
        </w:rPr>
        <w:t>The numbers will be small and there is no previous month. Write the real baseline down, say plainly that this is what everything gets measured from, and say when movement should be visible.</w:t>
      </w:r>
    </w:p>
    <w:p>
      <w:pPr>
        <w:spacing w:after="0"/>
        <w:ind w:left="259"/>
      </w:pPr>
      <w:r>
        <w:rPr>
          <w:rFonts w:ascii="Consolas" w:hAnsi="Consolas"/>
          <w:color w:val="2C2925"/>
          <w:sz w:val="20"/>
        </w:rPr>
        <w:t>This is month one, so these numbers are not results. They are the</w:t>
      </w:r>
    </w:p>
    <w:p>
      <w:pPr>
        <w:spacing w:after="0"/>
        <w:ind w:left="259"/>
      </w:pPr>
      <w:r>
        <w:rPr>
          <w:rFonts w:ascii="Consolas" w:hAnsi="Consolas"/>
          <w:color w:val="2C2925"/>
          <w:sz w:val="20"/>
        </w:rPr>
        <w:t>line everything after this gets measured against, and I am writing</w:t>
      </w:r>
    </w:p>
    <w:p>
      <w:pPr>
        <w:spacing w:after="0"/>
        <w:ind w:left="259"/>
      </w:pPr>
      <w:r>
        <w:rPr>
          <w:rFonts w:ascii="Consolas" w:hAnsi="Consolas"/>
          <w:color w:val="2C2925"/>
          <w:sz w:val="20"/>
        </w:rPr>
        <w:t>them down rather than dressing them up.</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On timing: first changes usually show in four to eight weeks, and</w:t>
      </w:r>
    </w:p>
    <w:p>
      <w:pPr>
        <w:spacing w:after="0"/>
        <w:ind w:left="259"/>
      </w:pPr>
      <w:r>
        <w:rPr>
          <w:rFonts w:ascii="Consolas" w:hAnsi="Consolas"/>
          <w:color w:val="2C2925"/>
          <w:sz w:val="20"/>
        </w:rPr>
        <w:t>meaningful change in three to six months. If month two looks</w:t>
      </w:r>
    </w:p>
    <w:p>
      <w:pPr>
        <w:spacing w:after="160"/>
        <w:ind w:left="259"/>
      </w:pPr>
      <w:r>
        <w:rPr>
          <w:rFonts w:ascii="Consolas" w:hAnsi="Consolas"/>
          <w:color w:val="2C2925"/>
          <w:sz w:val="20"/>
        </w:rPr>
        <w:t>similar to this one, that is what I expect it to look like.</w:t>
      </w:r>
    </w:p>
    <w:p>
      <w:pPr>
        <w:spacing w:after="120"/>
      </w:pPr>
      <w:r>
        <w:rPr>
          <w:rFonts w:ascii="Calibri" w:hAnsi="Calibri"/>
          <w:i w:val="0"/>
          <w:color w:val="2C2925"/>
          <w:sz w:val="22"/>
        </w:rPr>
        <w:t>A client told that in month one is patient in month three.</w:t>
      </w:r>
    </w:p>
    <w:p>
      <w:pPr>
        <w:spacing w:before="200" w:after="80"/>
      </w:pPr>
      <w:r>
        <w:rPr>
          <w:rFonts w:ascii="Georgia" w:hAnsi="Georgia"/>
          <w:b/>
          <w:color w:val="FA8A11"/>
          <w:sz w:val="28"/>
        </w:rPr>
        <w:t>The month that did not work</w:t>
      </w:r>
    </w:p>
    <w:p>
      <w:pPr>
        <w:spacing w:after="120"/>
      </w:pPr>
      <w:r>
        <w:rPr>
          <w:rFonts w:ascii="Calibri" w:hAnsi="Calibri"/>
          <w:i w:val="0"/>
          <w:color w:val="2C2925"/>
          <w:sz w:val="22"/>
        </w:rPr>
        <w:t>There will be a month where the numbers go sideways. Send it early rather than late, lead with the number rather than burying it, and bring one decision rather than three explanations.</w:t>
      </w:r>
    </w:p>
    <w:p>
      <w:pPr>
        <w:spacing w:after="0"/>
        <w:ind w:left="259"/>
      </w:pPr>
      <w:r>
        <w:rPr>
          <w:rFonts w:ascii="Consolas" w:hAnsi="Consolas"/>
          <w:color w:val="2C2925"/>
          <w:sz w:val="20"/>
        </w:rPr>
        <w:t>Reach was down eleven percent this month and I want to lead with</w:t>
      </w:r>
    </w:p>
    <w:p>
      <w:pPr>
        <w:spacing w:after="0"/>
        <w:ind w:left="259"/>
      </w:pPr>
      <w:r>
        <w:rPr>
          <w:rFonts w:ascii="Consolas" w:hAnsi="Consolas"/>
          <w:color w:val="2C2925"/>
          <w:sz w:val="20"/>
        </w:rPr>
        <w:t>that rather than bury it on page two.</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Here is what I think happened: [one sentence].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Here is what I am changing next month: [one decision, not three</w:t>
      </w:r>
    </w:p>
    <w:p>
      <w:pPr>
        <w:spacing w:after="160"/>
        <w:ind w:left="259"/>
      </w:pPr>
      <w:r>
        <w:rPr>
          <w:rFonts w:ascii="Consolas" w:hAnsi="Consolas"/>
          <w:color w:val="2C2925"/>
          <w:sz w:val="20"/>
        </w:rPr>
        <w:t>options].</w:t>
      </w:r>
    </w:p>
    <w:p>
      <w:pPr>
        <w:spacing w:after="120"/>
      </w:pPr>
      <w:r>
        <w:rPr>
          <w:rFonts w:ascii="Calibri" w:hAnsi="Calibri"/>
          <w:i w:val="0"/>
          <w:color w:val="2C2925"/>
          <w:sz w:val="22"/>
        </w:rPr>
        <w:t>This is where the no-guarantee clause stops being paperwork. You said at the start that you do not control the platform and that what you control is the work and the honest measurement. A flat month is a conversation when you said that up front.</w:t>
      </w:r>
    </w:p>
    <w:p>
      <w:pPr>
        <w:spacing w:before="240"/>
      </w:pPr>
      <w:r>
        <w:rPr>
          <w:rFonts w:ascii="Calibri" w:hAnsi="Calibri"/>
          <w:i/>
          <w:color w:val="8A7A6A"/>
          <w:sz w:val="18"/>
        </w:rPr>
        <w:t>Twenty minutes, once a month. It is the cheapest thing you do and it is the reason there is a month five.</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