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lgs-my-three-prices</w:t>
      </w:r>
    </w:p>
    <w:p>
      <w:pPr>
        <w:spacing w:after="40"/>
      </w:pPr>
      <w:r>
        <w:rPr>
          <w:rFonts w:ascii="Georgia" w:hAnsi="Georgia"/>
          <w:b/>
          <w:color w:val="13100E"/>
          <w:sz w:val="48"/>
        </w:rPr>
        <w:t>My Three Prices</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Fill this in before you speak to anybody, and keep it where you can see it during a call. When somebody asks what it costs and you pause, the price becomes an opening bid. An immediate answer is a price.</w:t>
      </w:r>
    </w:p>
    <w:p>
      <w:pPr>
        <w:spacing w:before="200" w:after="80"/>
      </w:pPr>
      <w:r>
        <w:rPr>
          <w:rFonts w:ascii="Georgia" w:hAnsi="Georgia"/>
          <w:b/>
          <w:color w:val="FA8A11"/>
          <w:sz w:val="28"/>
        </w:rPr>
        <w:t>The three things you sell</w:t>
      </w:r>
    </w:p>
    <w:p>
      <w:pPr>
        <w:spacing w:after="120"/>
      </w:pPr>
      <w:r>
        <w:rPr>
          <w:rFonts w:ascii="Calibri" w:hAnsi="Calibri"/>
          <w:i w:val="0"/>
          <w:color w:val="2C2925"/>
          <w:sz w:val="22"/>
        </w:rPr>
        <w:t>You sell three things to the same client, in order, and each one earns the right to the next.</w:t>
      </w:r>
    </w:p>
    <w:tbl>
      <w:tblPr>
        <w:tblStyle w:val="TableGrid"/>
        <w:tblW w:type="auto" w:w="0"/>
        <w:tblLayout w:type="fixed"/>
        <w:tblLook w:firstColumn="1" w:firstRow="1" w:lastColumn="0" w:lastRow="0" w:noHBand="0" w:noVBand="1" w:val="04A0"/>
      </w:tblPr>
      <w:tblGrid>
        <w:gridCol w:w="3213"/>
        <w:gridCol w:w="3213"/>
        <w:gridCol w:w="3213"/>
      </w:tblGrid>
      <w:tr>
        <w:tc>
          <w:tcPr>
            <w:tcW w:type="dxa" w:w="2160"/>
          </w:tcPr>
          <w:p>
            <w:r>
              <w:rPr>
                <w:rFonts w:ascii="Calibri" w:hAnsi="Calibri"/>
                <w:b/>
                <w:color w:val="FA8A11"/>
                <w:sz w:val="19"/>
              </w:rPr>
              <w:t>What it is</w:t>
            </w:r>
          </w:p>
        </w:tc>
        <w:tc>
          <w:tcPr>
            <w:tcW w:type="dxa" w:w="3744"/>
          </w:tcPr>
          <w:p>
            <w:r>
              <w:rPr>
                <w:rFonts w:ascii="Calibri" w:hAnsi="Calibri"/>
                <w:b/>
                <w:color w:val="FA8A11"/>
                <w:sz w:val="19"/>
              </w:rPr>
              <w:t>What is in it</w:t>
            </w:r>
          </w:p>
        </w:tc>
        <w:tc>
          <w:tcPr>
            <w:tcW w:type="dxa" w:w="3744"/>
          </w:tcPr>
          <w:p>
            <w:r>
              <w:rPr>
                <w:rFonts w:ascii="Calibri" w:hAnsi="Calibri"/>
                <w:b/>
                <w:color w:val="FA8A11"/>
                <w:sz w:val="19"/>
              </w:rPr>
              <w:t>Why it exists</w:t>
            </w:r>
          </w:p>
        </w:tc>
      </w:tr>
      <w:tr>
        <w:tc>
          <w:tcPr>
            <w:tcW w:type="dxa" w:w="2160"/>
          </w:tcPr>
          <w:p>
            <w:r>
              <w:rPr>
                <w:rFonts w:ascii="Calibri" w:hAnsi="Calibri"/>
                <w:color w:val="2C2925"/>
                <w:sz w:val="19"/>
              </w:rPr>
              <w:t>The first month, sometimes called a pilot</w:t>
            </w:r>
          </w:p>
        </w:tc>
        <w:tc>
          <w:tcPr>
            <w:tcW w:type="dxa" w:w="3744"/>
          </w:tcPr>
          <w:p>
            <w:r>
              <w:rPr>
                <w:rFonts w:ascii="Calibri" w:hAnsi="Calibri"/>
                <w:color w:val="2C2925"/>
                <w:sz w:val="19"/>
              </w:rPr>
              <w:t>Eight posts, one intake, one revision round. Paid up front.</w:t>
            </w:r>
          </w:p>
        </w:tc>
        <w:tc>
          <w:tcPr>
            <w:tcW w:type="dxa" w:w="3744"/>
          </w:tcPr>
          <w:p>
            <w:r>
              <w:rPr>
                <w:rFonts w:ascii="Calibri" w:hAnsi="Calibri"/>
                <w:color w:val="2C2925"/>
                <w:sz w:val="19"/>
              </w:rPr>
              <w:t>It takes the risk out of a decision somebody is making about a stranger.</w:t>
            </w:r>
          </w:p>
        </w:tc>
      </w:tr>
      <w:tr>
        <w:tc>
          <w:tcPr>
            <w:tcW w:type="dxa" w:w="2160"/>
          </w:tcPr>
          <w:p>
            <w:r>
              <w:rPr>
                <w:rFonts w:ascii="Calibri" w:hAnsi="Calibri"/>
                <w:color w:val="2C2925"/>
                <w:sz w:val="19"/>
              </w:rPr>
              <w:t>The monthly retainer</w:t>
            </w:r>
          </w:p>
        </w:tc>
        <w:tc>
          <w:tcPr>
            <w:tcW w:type="dxa" w:w="3744"/>
          </w:tcPr>
          <w:p>
            <w:r>
              <w:rPr>
                <w:rFonts w:ascii="Calibri" w:hAnsi="Calibri"/>
                <w:color w:val="2C2925"/>
                <w:sz w:val="19"/>
              </w:rPr>
              <w:t>The same work repeating. Eight posts a month, one revision round, one report.</w:t>
            </w:r>
          </w:p>
        </w:tc>
        <w:tc>
          <w:tcPr>
            <w:tcW w:type="dxa" w:w="3744"/>
          </w:tcPr>
          <w:p>
            <w:r>
              <w:rPr>
                <w:rFonts w:ascii="Calibri" w:hAnsi="Calibri"/>
                <w:color w:val="2C2925"/>
                <w:sz w:val="19"/>
              </w:rPr>
              <w:t>This is what the business is built on.</w:t>
            </w:r>
          </w:p>
        </w:tc>
      </w:tr>
      <w:tr>
        <w:tc>
          <w:tcPr>
            <w:tcW w:type="dxa" w:w="2160"/>
          </w:tcPr>
          <w:p>
            <w:r>
              <w:rPr>
                <w:rFonts w:ascii="Calibri" w:hAnsi="Calibri"/>
                <w:color w:val="2C2925"/>
                <w:sz w:val="19"/>
              </w:rPr>
              <w:t>The setup, at the start of a retainer</w:t>
            </w:r>
          </w:p>
        </w:tc>
        <w:tc>
          <w:tcPr>
            <w:tcW w:type="dxa" w:w="3744"/>
          </w:tcPr>
          <w:p>
            <w:r>
              <w:rPr>
                <w:rFonts w:ascii="Calibri" w:hAnsi="Calibri"/>
                <w:color w:val="2C2925"/>
                <w:sz w:val="19"/>
              </w:rPr>
              <w:t>The intake, the voice brief, and their profile rewritten.</w:t>
            </w:r>
          </w:p>
        </w:tc>
        <w:tc>
          <w:tcPr>
            <w:tcW w:type="dxa" w:w="3744"/>
          </w:tcPr>
          <w:p>
            <w:r>
              <w:rPr>
                <w:rFonts w:ascii="Calibri" w:hAnsi="Calibri"/>
                <w:color w:val="2C2925"/>
                <w:sz w:val="19"/>
              </w:rPr>
              <w:t>Most people give it away. It is the most valuable half day you spend on a client.</w:t>
            </w:r>
          </w:p>
        </w:tc>
      </w:tr>
    </w:tbl>
    <w:p>
      <w:pPr>
        <w:spacing w:after="120"/>
      </w:pPr>
    </w:p>
    <w:p>
      <w:pPr>
        <w:spacing w:before="200" w:after="80"/>
      </w:pPr>
      <w:r>
        <w:rPr>
          <w:rFonts w:ascii="Georgia" w:hAnsi="Georgia"/>
          <w:b/>
          <w:color w:val="FA8A11"/>
          <w:sz w:val="28"/>
        </w:rPr>
        <w:t>What the market asks, and why to distrust it</w:t>
      </w:r>
    </w:p>
    <w:p>
      <w:pPr>
        <w:spacing w:after="120"/>
      </w:pPr>
      <w:r>
        <w:rPr>
          <w:rFonts w:ascii="Calibri" w:hAnsi="Calibri"/>
          <w:i w:val="0"/>
          <w:color w:val="2C2925"/>
          <w:sz w:val="22"/>
        </w:rPr>
        <w:t>Published prices from people selling this service in 2026 sit roughly in these bands.</w:t>
      </w:r>
    </w:p>
    <w:tbl>
      <w:tblPr>
        <w:tblStyle w:val="TableGrid"/>
        <w:tblW w:type="auto" w:w="0"/>
        <w:tblLayout w:type="fixed"/>
        <w:tblLook w:firstColumn="1" w:firstRow="1" w:lastColumn="0" w:lastRow="0" w:noHBand="0" w:noVBand="1" w:val="04A0"/>
      </w:tblPr>
      <w:tblGrid>
        <w:gridCol w:w="3213"/>
        <w:gridCol w:w="3213"/>
        <w:gridCol w:w="3213"/>
      </w:tblGrid>
      <w:tr>
        <w:tc>
          <w:tcPr>
            <w:tcW w:type="dxa" w:w="2880"/>
          </w:tcPr>
          <w:p>
            <w:r>
              <w:rPr>
                <w:rFonts w:ascii="Calibri" w:hAnsi="Calibri"/>
                <w:b/>
                <w:color w:val="FA8A11"/>
                <w:sz w:val="19"/>
              </w:rPr>
            </w:r>
          </w:p>
        </w:tc>
        <w:tc>
          <w:tcPr>
            <w:tcW w:type="dxa" w:w="3312"/>
          </w:tcPr>
          <w:p>
            <w:r>
              <w:rPr>
                <w:rFonts w:ascii="Calibri" w:hAnsi="Calibri"/>
                <w:b/>
                <w:color w:val="FA8A11"/>
                <w:sz w:val="19"/>
              </w:rPr>
              <w:t>Per post</w:t>
            </w:r>
          </w:p>
        </w:tc>
        <w:tc>
          <w:tcPr>
            <w:tcW w:type="dxa" w:w="3456"/>
          </w:tcPr>
          <w:p>
            <w:r>
              <w:rPr>
                <w:rFonts w:ascii="Calibri" w:hAnsi="Calibri"/>
                <w:b/>
                <w:color w:val="FA8A11"/>
                <w:sz w:val="19"/>
              </w:rPr>
              <w:t>Per month, retainer</w:t>
            </w:r>
          </w:p>
        </w:tc>
      </w:tr>
      <w:tr>
        <w:tc>
          <w:tcPr>
            <w:tcW w:type="dxa" w:w="2880"/>
          </w:tcPr>
          <w:p>
            <w:r>
              <w:rPr>
                <w:rFonts w:ascii="Calibri" w:hAnsi="Calibri"/>
                <w:color w:val="2C2925"/>
                <w:sz w:val="19"/>
              </w:rPr>
              <w:t>Budget</w:t>
            </w:r>
          </w:p>
        </w:tc>
        <w:tc>
          <w:tcPr>
            <w:tcW w:type="dxa" w:w="3312"/>
          </w:tcPr>
          <w:p>
            <w:r>
              <w:rPr>
                <w:rFonts w:ascii="Calibri" w:hAnsi="Calibri"/>
                <w:color w:val="2C2925"/>
                <w:sz w:val="19"/>
              </w:rPr>
              <w:t>$50 to $100</w:t>
            </w:r>
          </w:p>
        </w:tc>
        <w:tc>
          <w:tcPr>
            <w:tcW w:type="dxa" w:w="3456"/>
          </w:tcPr>
          <w:p>
            <w:r>
              <w:rPr>
                <w:rFonts w:ascii="Calibri" w:hAnsi="Calibri"/>
                <w:color w:val="2C2925"/>
                <w:sz w:val="19"/>
              </w:rPr>
              <w:t>Starter packages $1,200 to $2,000</w:t>
            </w:r>
          </w:p>
        </w:tc>
      </w:tr>
      <w:tr>
        <w:tc>
          <w:tcPr>
            <w:tcW w:type="dxa" w:w="2880"/>
          </w:tcPr>
          <w:p>
            <w:r>
              <w:rPr>
                <w:rFonts w:ascii="Calibri" w:hAnsi="Calibri"/>
                <w:color w:val="2C2925"/>
                <w:sz w:val="19"/>
              </w:rPr>
              <w:t>The middle</w:t>
            </w:r>
          </w:p>
        </w:tc>
        <w:tc>
          <w:tcPr>
            <w:tcW w:type="dxa" w:w="3312"/>
          </w:tcPr>
          <w:p>
            <w:r>
              <w:rPr>
                <w:rFonts w:ascii="Calibri" w:hAnsi="Calibri"/>
                <w:color w:val="2C2925"/>
                <w:sz w:val="19"/>
              </w:rPr>
              <w:t>$150 to $250</w:t>
            </w:r>
          </w:p>
        </w:tc>
        <w:tc>
          <w:tcPr>
            <w:tcW w:type="dxa" w:w="3456"/>
          </w:tcPr>
          <w:p>
            <w:r>
              <w:rPr>
                <w:rFonts w:ascii="Calibri" w:hAnsi="Calibri"/>
                <w:color w:val="2C2925"/>
                <w:sz w:val="19"/>
              </w:rPr>
              <w:t>$1,500 to $3,500</w:t>
            </w:r>
          </w:p>
        </w:tc>
      </w:tr>
      <w:tr>
        <w:tc>
          <w:tcPr>
            <w:tcW w:type="dxa" w:w="2880"/>
          </w:tcPr>
          <w:p>
            <w:r>
              <w:rPr>
                <w:rFonts w:ascii="Calibri" w:hAnsi="Calibri"/>
                <w:color w:val="2C2925"/>
                <w:sz w:val="19"/>
              </w:rPr>
              <w:t>The top</w:t>
            </w:r>
          </w:p>
        </w:tc>
        <w:tc>
          <w:tcPr>
            <w:tcW w:type="dxa" w:w="3312"/>
          </w:tcPr>
          <w:p>
            <w:r>
              <w:rPr>
                <w:rFonts w:ascii="Calibri" w:hAnsi="Calibri"/>
                <w:color w:val="2C2925"/>
                <w:sz w:val="19"/>
              </w:rPr>
              <w:t>$300 to $500</w:t>
            </w:r>
          </w:p>
        </w:tc>
        <w:tc>
          <w:tcPr>
            <w:tcW w:type="dxa" w:w="3456"/>
          </w:tcPr>
          <w:p>
            <w:r>
              <w:rPr>
                <w:rFonts w:ascii="Calibri" w:hAnsi="Calibri"/>
                <w:color w:val="2C2925"/>
                <w:sz w:val="19"/>
              </w:rPr>
              <w:t>Agencies quoting $5,000 and upwards</w:t>
            </w:r>
          </w:p>
        </w:tc>
      </w:tr>
    </w:tbl>
    <w:p>
      <w:pPr>
        <w:spacing w:after="120"/>
      </w:pPr>
    </w:p>
    <w:p>
      <w:pPr>
        <w:spacing w:before="120" w:after="160"/>
        <w:ind w:left="259"/>
      </w:pPr>
      <w:r>
        <w:rPr>
          <w:rFonts w:ascii="Calibri" w:hAnsi="Calibri"/>
          <w:b/>
          <w:color w:val="FA8A11"/>
          <w:sz w:val="22"/>
        </w:rPr>
        <w:t>These are asking prices.</w:t>
      </w:r>
    </w:p>
    <w:p>
      <w:pPr>
        <w:spacing w:after="120"/>
      </w:pPr>
      <w:r>
        <w:rPr>
          <w:rFonts w:ascii="Calibri" w:hAnsi="Calibri"/>
          <w:i w:val="0"/>
          <w:color w:val="2C2925"/>
          <w:sz w:val="22"/>
        </w:rPr>
        <w:t>Every one of those numbers was published by somebody selling the service, on a page designed to make their own price look normal. There is no survey behind them, and an asking price is a different thing from what gets paid. The part of the market with real numbers attached is the open freelance marketplace, so go and look at it yourself on the day you set your prices rather than trusting a figure printed in a document months earlier.</w:t>
      </w:r>
    </w:p>
    <w:p>
      <w:pPr>
        <w:spacing w:before="200" w:after="80"/>
      </w:pPr>
      <w:r>
        <w:rPr>
          <w:rFonts w:ascii="Georgia" w:hAnsi="Georgia"/>
          <w:b/>
          <w:color w:val="FA8A11"/>
          <w:sz w:val="28"/>
        </w:rPr>
        <w:t>Your floor</w:t>
      </w:r>
    </w:p>
    <w:p>
      <w:pPr>
        <w:spacing w:before="120" w:after="160"/>
        <w:ind w:left="259"/>
      </w:pPr>
      <w:r>
        <w:rPr>
          <w:rFonts w:ascii="Calibri" w:hAnsi="Calibri"/>
          <w:b/>
          <w:color w:val="FA8A11"/>
          <w:sz w:val="22"/>
        </w:rPr>
        <w:t>Do not go under $800 a month for a retainer, or under $500 for a single first month.</w:t>
      </w:r>
    </w:p>
    <w:p>
      <w:pPr>
        <w:spacing w:after="120"/>
      </w:pPr>
      <w:r>
        <w:rPr>
          <w:rFonts w:ascii="Calibri" w:hAnsi="Calibri"/>
          <w:i w:val="0"/>
          <w:color w:val="2C2925"/>
          <w:sz w:val="22"/>
        </w:rPr>
        <w:t>Below that, one of two things is true. Either a full day of work is returning less than the hours are worth to you, in which case you stop doing it within two months. Or you are not spending a full day, which means you are shipping posts that score one mark.</w:t>
      </w:r>
    </w:p>
    <w:p>
      <w:pPr>
        <w:spacing w:after="120"/>
      </w:pPr>
      <w:r>
        <w:rPr>
          <w:rFonts w:ascii="Calibri" w:hAnsi="Calibri"/>
          <w:i w:val="0"/>
          <w:color w:val="2C2925"/>
          <w:sz w:val="22"/>
        </w:rPr>
        <w:t>The clients who come in below that floor also tend to be the ones who leave in month two and ask for eleven revisions in month one. Price filters before it pays.</w:t>
      </w:r>
    </w:p>
    <w:p>
      <w:pPr>
        <w:spacing w:before="200" w:after="80"/>
      </w:pPr>
      <w:r>
        <w:rPr>
          <w:rFonts w:ascii="Georgia" w:hAnsi="Georgia"/>
          <w:b/>
          <w:color w:val="FA8A11"/>
          <w:sz w:val="28"/>
        </w:rPr>
        <w:t>The arithmetic you do out loud</w:t>
      </w:r>
    </w:p>
    <w:p>
      <w:pPr>
        <w:spacing w:after="120"/>
      </w:pPr>
      <w:r>
        <w:rPr>
          <w:rFonts w:ascii="Calibri" w:hAnsi="Calibri"/>
          <w:i w:val="0"/>
          <w:color w:val="2C2925"/>
          <w:sz w:val="22"/>
        </w:rPr>
        <w:t>Work this out for your own category before any conversation, because it settles the price question before it is asked. You are not asking them to believe they will become well known. You are asking them to picture one client arriving because somebody read something they said.</w:t>
      </w:r>
    </w:p>
    <w:p>
      <w:pPr>
        <w:spacing w:after="60"/>
      </w:pPr>
      <w:r>
        <w:rPr>
          <w:rFonts w:ascii="Calibri" w:hAnsi="Calibri"/>
          <w:b/>
          <w:color w:val="13100E"/>
          <w:sz w:val="22"/>
        </w:rPr>
        <w:t xml:space="preserve">What one new client is worth to somebody in my category, per month  </w:t>
      </w:r>
      <w:r>
        <w:rPr>
          <w:rFonts w:ascii="Calibri" w:hAnsi="Calibri"/>
          <w:color w:val="8A7A6A"/>
          <w:sz w:val="22"/>
        </w:rPr>
      </w:r>
    </w:p>
    <w:p>
      <w:pPr>
        <w:spacing w:after="60"/>
      </w:pPr>
      <w:r>
        <w:rPr>
          <w:rFonts w:ascii="Calibri" w:hAnsi="Calibri"/>
          <w:b/>
          <w:color w:val="13100E"/>
          <w:sz w:val="22"/>
        </w:rPr>
        <w:t xml:space="preserve">How long that client typically stays  </w:t>
      </w:r>
      <w:r>
        <w:rPr>
          <w:rFonts w:ascii="Calibri" w:hAnsi="Calibri"/>
          <w:color w:val="8A7A6A"/>
          <w:sz w:val="22"/>
        </w:rPr>
      </w:r>
    </w:p>
    <w:p>
      <w:pPr>
        <w:spacing w:after="60"/>
      </w:pPr>
      <w:r>
        <w:rPr>
          <w:rFonts w:ascii="Calibri" w:hAnsi="Calibri"/>
          <w:b/>
          <w:color w:val="13100E"/>
          <w:sz w:val="22"/>
        </w:rPr>
        <w:t xml:space="preserve">So one additional client is worth, in total  </w:t>
      </w:r>
      <w:r>
        <w:rPr>
          <w:rFonts w:ascii="Calibri" w:hAnsi="Calibri"/>
          <w:color w:val="8A7A6A"/>
          <w:sz w:val="22"/>
        </w:rPr>
      </w:r>
    </w:p>
    <w:p>
      <w:pPr>
        <w:spacing w:after="60"/>
      </w:pPr>
      <w:r>
        <w:rPr>
          <w:rFonts w:ascii="Calibri" w:hAnsi="Calibri"/>
          <w:b/>
          <w:color w:val="13100E"/>
          <w:sz w:val="22"/>
        </w:rPr>
        <w:t xml:space="preserve">A year of my retainer costs them  </w:t>
      </w:r>
      <w:r>
        <w:rPr>
          <w:rFonts w:ascii="Calibri" w:hAnsi="Calibri"/>
          <w:color w:val="8A7A6A"/>
          <w:sz w:val="22"/>
        </w:rPr>
      </w:r>
    </w:p>
    <w:p>
      <w:pPr>
        <w:spacing w:after="60"/>
      </w:pPr>
      <w:r>
        <w:rPr>
          <w:rFonts w:ascii="Calibri" w:hAnsi="Calibri"/>
          <w:b/>
          <w:color w:val="13100E"/>
          <w:sz w:val="22"/>
        </w:rPr>
        <w:t xml:space="preserve">Which means the gap is  </w:t>
      </w:r>
      <w:r>
        <w:rPr>
          <w:rFonts w:ascii="Calibri" w:hAnsi="Calibri"/>
          <w:color w:val="8A7A6A"/>
          <w:sz w:val="22"/>
        </w:rPr>
      </w:r>
    </w:p>
    <w:p>
      <w:pPr>
        <w:spacing w:after="160"/>
        <w:ind w:left="648"/>
      </w:pPr>
      <w:r>
        <w:rPr>
          <w:rFonts w:ascii="Calibri" w:hAnsi="Calibri"/>
          <w:i/>
          <w:color w:val="8A7A6A"/>
          <w:sz w:val="19"/>
        </w:rPr>
        <w:t>Worked example. A fractional CFO's clients stay a year or two and pay monthly throughout, so one additional client is worth a great deal more to her than a year of the writing costs her, and the gap is not close. Say the comparison out loud in the conversation rather than putting it in a proposal afterwards.</w:t>
      </w:r>
    </w:p>
    <w:p>
      <w:pPr>
        <w:spacing w:before="200" w:after="80"/>
      </w:pPr>
      <w:r>
        <w:rPr>
          <w:rFonts w:ascii="Georgia" w:hAnsi="Georgia"/>
          <w:b/>
          <w:color w:val="FA8A11"/>
          <w:sz w:val="28"/>
        </w:rPr>
        <w:t>The price card</w:t>
      </w:r>
    </w:p>
    <w:p>
      <w:pPr>
        <w:spacing w:after="120"/>
      </w:pPr>
      <w:r>
        <w:rPr>
          <w:rFonts w:ascii="Calibri" w:hAnsi="Calibri"/>
          <w:i w:val="0"/>
          <w:color w:val="2C2925"/>
          <w:sz w:val="22"/>
        </w:rPr>
        <w:t>Write the three numbers down now. Not a range. A number.</w:t>
      </w:r>
    </w:p>
    <w:tbl>
      <w:tblPr>
        <w:tblStyle w:val="TableGrid"/>
        <w:tblW w:type="auto" w:w="0"/>
        <w:tblLayout w:type="fixed"/>
        <w:tblLook w:firstColumn="1" w:firstRow="1" w:lastColumn="0" w:lastRow="0" w:noHBand="0" w:noVBand="1" w:val="04A0"/>
      </w:tblPr>
      <w:tblGrid>
        <w:gridCol w:w="2409"/>
        <w:gridCol w:w="2409"/>
        <w:gridCol w:w="2409"/>
        <w:gridCol w:w="2409"/>
      </w:tblGrid>
      <w:tr>
        <w:tc>
          <w:tcPr>
            <w:tcW w:type="dxa" w:w="2160"/>
          </w:tcPr>
          <w:p>
            <w:r>
              <w:rPr>
                <w:rFonts w:ascii="Calibri" w:hAnsi="Calibri"/>
                <w:b/>
                <w:color w:val="FA8A11"/>
                <w:sz w:val="19"/>
              </w:rPr>
            </w:r>
          </w:p>
        </w:tc>
        <w:tc>
          <w:tcPr>
            <w:tcW w:type="dxa" w:w="1728"/>
          </w:tcPr>
          <w:p>
            <w:r>
              <w:rPr>
                <w:rFonts w:ascii="Calibri" w:hAnsi="Calibri"/>
                <w:b/>
                <w:color w:val="FA8A11"/>
                <w:sz w:val="19"/>
              </w:rPr>
              <w:t>My price</w:t>
            </w:r>
          </w:p>
        </w:tc>
        <w:tc>
          <w:tcPr>
            <w:tcW w:type="dxa" w:w="3168"/>
          </w:tcPr>
          <w:p>
            <w:r>
              <w:rPr>
                <w:rFonts w:ascii="Calibri" w:hAnsi="Calibri"/>
                <w:b/>
                <w:color w:val="FA8A11"/>
                <w:sz w:val="19"/>
              </w:rPr>
              <w:t>What is included</w:t>
            </w:r>
          </w:p>
        </w:tc>
        <w:tc>
          <w:tcPr>
            <w:tcW w:type="dxa" w:w="2592"/>
          </w:tcPr>
          <w:p>
            <w:r>
              <w:rPr>
                <w:rFonts w:ascii="Calibri" w:hAnsi="Calibri"/>
                <w:b/>
                <w:color w:val="FA8A11"/>
                <w:sz w:val="19"/>
              </w:rPr>
              <w:t>Terms</w:t>
            </w:r>
          </w:p>
        </w:tc>
      </w:tr>
      <w:tr>
        <w:tc>
          <w:tcPr>
            <w:tcW w:type="dxa" w:w="2160"/>
          </w:tcPr>
          <w:p>
            <w:r>
              <w:rPr>
                <w:rFonts w:ascii="Calibri" w:hAnsi="Calibri"/>
                <w:color w:val="2C2925"/>
                <w:sz w:val="19"/>
              </w:rPr>
              <w:t>First month</w:t>
            </w:r>
          </w:p>
        </w:tc>
        <w:tc>
          <w:tcPr>
            <w:tcW w:type="dxa" w:w="1728"/>
          </w:tcPr>
          <w:p>
            <w:r>
              <w:rPr>
                <w:rFonts w:ascii="Calibri" w:hAnsi="Calibri"/>
                <w:color w:val="2C2925"/>
                <w:sz w:val="19"/>
              </w:rPr>
            </w:r>
          </w:p>
        </w:tc>
        <w:tc>
          <w:tcPr>
            <w:tcW w:type="dxa" w:w="3168"/>
          </w:tcPr>
          <w:p>
            <w:r>
              <w:rPr>
                <w:rFonts w:ascii="Calibri" w:hAnsi="Calibri"/>
                <w:color w:val="2C2925"/>
                <w:sz w:val="19"/>
              </w:rPr>
              <w:t>Intake, voice brief, 8 posts, 1 revision round</w:t>
            </w:r>
          </w:p>
        </w:tc>
        <w:tc>
          <w:tcPr>
            <w:tcW w:type="dxa" w:w="2592"/>
          </w:tcPr>
          <w:p>
            <w:r>
              <w:rPr>
                <w:rFonts w:ascii="Calibri" w:hAnsi="Calibri"/>
                <w:color w:val="2C2925"/>
                <w:sz w:val="19"/>
              </w:rPr>
              <w:t>Paid in full up front</w:t>
            </w:r>
          </w:p>
        </w:tc>
      </w:tr>
      <w:tr>
        <w:tc>
          <w:tcPr>
            <w:tcW w:type="dxa" w:w="2160"/>
          </w:tcPr>
          <w:p>
            <w:r>
              <w:rPr>
                <w:rFonts w:ascii="Calibri" w:hAnsi="Calibri"/>
                <w:color w:val="2C2925"/>
                <w:sz w:val="19"/>
              </w:rPr>
              <w:t>Monthly retainer</w:t>
            </w:r>
          </w:p>
        </w:tc>
        <w:tc>
          <w:tcPr>
            <w:tcW w:type="dxa" w:w="1728"/>
          </w:tcPr>
          <w:p>
            <w:r>
              <w:rPr>
                <w:rFonts w:ascii="Calibri" w:hAnsi="Calibri"/>
                <w:color w:val="2C2925"/>
                <w:sz w:val="19"/>
              </w:rPr>
            </w:r>
          </w:p>
        </w:tc>
        <w:tc>
          <w:tcPr>
            <w:tcW w:type="dxa" w:w="3168"/>
          </w:tcPr>
          <w:p>
            <w:r>
              <w:rPr>
                <w:rFonts w:ascii="Calibri" w:hAnsi="Calibri"/>
                <w:color w:val="2C2925"/>
                <w:sz w:val="19"/>
              </w:rPr>
              <w:t>8 posts, 1 revision round, monthly report</w:t>
            </w:r>
          </w:p>
        </w:tc>
        <w:tc>
          <w:tcPr>
            <w:tcW w:type="dxa" w:w="2592"/>
          </w:tcPr>
          <w:p>
            <w:r>
              <w:rPr>
                <w:rFonts w:ascii="Calibri" w:hAnsi="Calibri"/>
                <w:color w:val="2C2925"/>
                <w:sz w:val="19"/>
              </w:rPr>
              <w:t>Subscription, 30 days notice either side</w:t>
            </w:r>
          </w:p>
        </w:tc>
      </w:tr>
      <w:tr>
        <w:tc>
          <w:tcPr>
            <w:tcW w:type="dxa" w:w="2160"/>
          </w:tcPr>
          <w:p>
            <w:r>
              <w:rPr>
                <w:rFonts w:ascii="Calibri" w:hAnsi="Calibri"/>
                <w:color w:val="2C2925"/>
                <w:sz w:val="19"/>
              </w:rPr>
              <w:t>Setup</w:t>
            </w:r>
          </w:p>
        </w:tc>
        <w:tc>
          <w:tcPr>
            <w:tcW w:type="dxa" w:w="1728"/>
          </w:tcPr>
          <w:p>
            <w:r>
              <w:rPr>
                <w:rFonts w:ascii="Calibri" w:hAnsi="Calibri"/>
                <w:color w:val="2C2925"/>
                <w:sz w:val="19"/>
              </w:rPr>
            </w:r>
          </w:p>
        </w:tc>
        <w:tc>
          <w:tcPr>
            <w:tcW w:type="dxa" w:w="3168"/>
          </w:tcPr>
          <w:p>
            <w:r>
              <w:rPr>
                <w:rFonts w:ascii="Calibri" w:hAnsi="Calibri"/>
                <w:color w:val="2C2925"/>
                <w:sz w:val="19"/>
              </w:rPr>
              <w:t>Intake, voice brief, profile rewritten</w:t>
            </w:r>
          </w:p>
        </w:tc>
        <w:tc>
          <w:tcPr>
            <w:tcW w:type="dxa" w:w="2592"/>
          </w:tcPr>
          <w:p>
            <w:r>
              <w:rPr>
                <w:rFonts w:ascii="Calibri" w:hAnsi="Calibri"/>
                <w:color w:val="2C2925"/>
                <w:sz w:val="19"/>
              </w:rPr>
              <w:t>Charged once, at the start</w:t>
            </w:r>
          </w:p>
        </w:tc>
      </w:tr>
    </w:tbl>
    <w:p>
      <w:pPr>
        <w:spacing w:after="120"/>
      </w:pPr>
    </w:p>
    <w:p>
      <w:pPr>
        <w:spacing w:before="160" w:after="40"/>
      </w:pPr>
      <w:r>
        <w:rPr>
          <w:rFonts w:ascii="Calibri" w:hAnsi="Calibri"/>
          <w:b/>
          <w:color w:val="13100E"/>
          <w:sz w:val="23"/>
        </w:rPr>
        <w:t>The sentence, out loud, with a full stop in it</w:t>
      </w:r>
    </w:p>
    <w:p>
      <w:pPr>
        <w:spacing w:after="0"/>
        <w:ind w:left="259"/>
      </w:pPr>
      <w:r>
        <w:rPr>
          <w:rFonts w:ascii="Consolas" w:hAnsi="Consolas"/>
          <w:color w:val="2C2925"/>
          <w:sz w:val="20"/>
        </w:rPr>
        <w:t>The first month is [amount]. That is the intake, a voice brief you</w:t>
      </w:r>
    </w:p>
    <w:p>
      <w:pPr>
        <w:spacing w:after="0"/>
        <w:ind w:left="259"/>
      </w:pPr>
      <w:r>
        <w:rPr>
          <w:rFonts w:ascii="Consolas" w:hAnsi="Consolas"/>
          <w:color w:val="2C2925"/>
          <w:sz w:val="20"/>
        </w:rPr>
        <w:t>approve, and eight posts. After that it is [amount] a month and</w:t>
      </w:r>
    </w:p>
    <w:p>
      <w:pPr>
        <w:spacing w:after="160"/>
        <w:ind w:left="259"/>
      </w:pPr>
      <w:r>
        <w:rPr>
          <w:rFonts w:ascii="Consolas" w:hAnsi="Consolas"/>
          <w:color w:val="2C2925"/>
          <w:sz w:val="20"/>
        </w:rPr>
        <w:t>either of us can stop with thirty days notice.</w:t>
      </w:r>
    </w:p>
    <w:p>
      <w:pPr>
        <w:spacing w:before="120" w:after="160"/>
        <w:ind w:left="259"/>
      </w:pPr>
      <w:r>
        <w:rPr>
          <w:rFonts w:ascii="Calibri" w:hAnsi="Calibri"/>
          <w:b/>
          <w:color w:val="FA8A11"/>
          <w:sz w:val="22"/>
        </w:rPr>
        <w:t>Then say nothing at all.</w:t>
      </w:r>
    </w:p>
    <w:p>
      <w:pPr>
        <w:spacing w:after="120"/>
      </w:pPr>
      <w:r>
        <w:rPr>
          <w:rFonts w:ascii="Calibri" w:hAnsi="Calibri"/>
          <w:i w:val="0"/>
          <w:color w:val="2C2925"/>
          <w:sz w:val="22"/>
        </w:rPr>
        <w:t>The silence after a price is uncomfortable and it is not your job to fill it. The person who speaks first in that silence negotiates against themselves, and it does not need to be you.</w:t>
      </w:r>
    </w:p>
    <w:p>
      <w:pPr>
        <w:spacing w:before="200" w:after="80"/>
      </w:pPr>
      <w:r>
        <w:rPr>
          <w:rFonts w:ascii="Georgia" w:hAnsi="Georgia"/>
          <w:b/>
          <w:color w:val="FA8A11"/>
          <w:sz w:val="28"/>
        </w:rPr>
        <w:t>When to raise it</w:t>
      </w:r>
    </w:p>
    <w:p>
      <w:pPr>
        <w:spacing w:after="120"/>
      </w:pPr>
      <w:r>
        <w:rPr>
          <w:rFonts w:ascii="Calibri" w:hAnsi="Calibri"/>
          <w:i w:val="0"/>
          <w:color w:val="2C2925"/>
          <w:sz w:val="22"/>
        </w:rPr>
        <w:t>Raise it on new clients first and existing ones much later, and do it when two things are true: you have three months of reports you would be happy to show a stranger, and you have turned somebody down.</w:t>
      </w:r>
    </w:p>
    <w:p>
      <w:pPr>
        <w:spacing w:after="120"/>
      </w:pPr>
      <w:r>
        <w:rPr>
          <w:rFonts w:ascii="Calibri" w:hAnsi="Calibri"/>
          <w:i w:val="0"/>
          <w:color w:val="2C2925"/>
          <w:sz w:val="22"/>
        </w:rPr>
        <w:t>For existing clients, thirty days notice, in writing, with the reason attached, and the reason is not costs. The reason is in the reports and in the mentions you wrote down. Here is what the last six months produced, here is what I am changing, and here is the rate from the first of the month.</w:t>
      </w:r>
    </w:p>
    <w:p>
      <w:pPr>
        <w:spacing w:after="120"/>
      </w:pPr>
      <w:r>
        <w:rPr>
          <w:rFonts w:ascii="Calibri" w:hAnsi="Calibri"/>
          <w:i w:val="0"/>
          <w:color w:val="2C2925"/>
          <w:sz w:val="22"/>
        </w:rPr>
        <w:t>Some will leave, and that is what a filter does. If one of four leaves over a three hundred dollar increase and three stay, you are ahead inside two months.</w:t>
      </w:r>
    </w:p>
    <w:p>
      <w:pPr>
        <w:spacing w:before="240"/>
      </w:pPr>
      <w:r>
        <w:rPr>
          <w:rFonts w:ascii="Calibri" w:hAnsi="Calibri"/>
          <w:i/>
          <w:color w:val="8A7A6A"/>
          <w:sz w:val="18"/>
        </w:rPr>
        <w:t>Four clients at fifteen hundred is six thousand a month for something in the region of twenty hours a week, and it is the same twenty hours each month rather than a different twenty.</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