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lgs-post-shape-library</w:t>
      </w:r>
    </w:p>
    <w:p>
      <w:pPr>
        <w:spacing w:after="40"/>
      </w:pPr>
      <w:r>
        <w:rPr>
          <w:rFonts w:ascii="Georgia" w:hAnsi="Georgia"/>
          <w:b/>
          <w:color w:val="13100E"/>
          <w:sz w:val="48"/>
        </w:rPr>
        <w:t>The Post Shape Library</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Everything you write in the first months fits one of three shapes. Each one is written out here from the same intake, so you can see the same material produce three different posts, and you can see how much of each finished post is the client rather than you.</w:t>
      </w:r>
    </w:p>
    <w:p>
      <w:pPr>
        <w:spacing w:before="200" w:after="80"/>
      </w:pPr>
      <w:r>
        <w:rPr>
          <w:rFonts w:ascii="Georgia" w:hAnsi="Georgia"/>
          <w:b/>
          <w:color w:val="FA8A11"/>
          <w:sz w:val="28"/>
        </w:rPr>
        <w:t>What a finished post has in it</w:t>
      </w:r>
    </w:p>
    <w:p>
      <w:pPr>
        <w:spacing w:after="120"/>
      </w:pPr>
      <w:r>
        <w:rPr>
          <w:rFonts w:ascii="Calibri" w:hAnsi="Calibri"/>
          <w:i w:val="0"/>
          <w:color w:val="2C2925"/>
          <w:sz w:val="22"/>
        </w:rPr>
        <w:t>The four marks, which is the test you already have. Around those, three structural things.</w:t>
      </w:r>
    </w:p>
    <w:p>
      <w:pPr>
        <w:spacing w:after="60"/>
        <w:ind w:left="259"/>
      </w:pPr>
      <w:r>
        <w:rPr>
          <w:rFonts w:ascii="Calibri" w:hAnsi="Calibri"/>
          <w:color w:val="FA8A11"/>
          <w:sz w:val="22"/>
        </w:rPr>
        <w:t xml:space="preserve">-  </w:t>
      </w:r>
      <w:r>
        <w:rPr>
          <w:rFonts w:ascii="Calibri" w:hAnsi="Calibri"/>
          <w:color w:val="2C2925"/>
          <w:sz w:val="22"/>
        </w:rPr>
        <w:t>A first line that makes the second line unavoidable.</w:t>
      </w:r>
    </w:p>
    <w:p>
      <w:pPr>
        <w:spacing w:after="60"/>
        <w:ind w:left="259"/>
      </w:pPr>
      <w:r>
        <w:rPr>
          <w:rFonts w:ascii="Calibri" w:hAnsi="Calibri"/>
          <w:color w:val="FA8A11"/>
          <w:sz w:val="22"/>
        </w:rPr>
        <w:t xml:space="preserve">-  </w:t>
      </w:r>
      <w:r>
        <w:rPr>
          <w:rFonts w:ascii="Calibri" w:hAnsi="Calibri"/>
          <w:color w:val="2C2925"/>
          <w:sz w:val="22"/>
        </w:rPr>
        <w:t>The example in the order they told it.</w:t>
      </w:r>
    </w:p>
    <w:p>
      <w:pPr>
        <w:spacing w:after="60"/>
        <w:ind w:left="259"/>
      </w:pPr>
      <w:r>
        <w:rPr>
          <w:rFonts w:ascii="Calibri" w:hAnsi="Calibri"/>
          <w:color w:val="FA8A11"/>
          <w:sz w:val="22"/>
        </w:rPr>
        <w:t xml:space="preserve">-  </w:t>
      </w:r>
      <w:r>
        <w:rPr>
          <w:rFonts w:ascii="Calibri" w:hAnsi="Calibri"/>
          <w:color w:val="2C2925"/>
          <w:sz w:val="22"/>
        </w:rPr>
        <w:t>A last line that is a thought rather than an instruction.</w:t>
      </w:r>
    </w:p>
    <w:p>
      <w:pPr>
        <w:spacing w:before="120" w:after="160"/>
        <w:ind w:left="259"/>
      </w:pPr>
      <w:r>
        <w:rPr>
          <w:rFonts w:ascii="Calibri" w:hAnsi="Calibri"/>
          <w:b/>
          <w:color w:val="FA8A11"/>
          <w:sz w:val="22"/>
        </w:rPr>
        <w:t>What it is not is a hook, three bullet points and a question at the end.</w:t>
      </w:r>
    </w:p>
    <w:p>
      <w:pPr>
        <w:spacing w:after="120"/>
      </w:pPr>
      <w:r>
        <w:rPr>
          <w:rFonts w:ascii="Calibri" w:hAnsi="Calibri"/>
          <w:i w:val="0"/>
          <w:color w:val="2C2925"/>
          <w:sz w:val="22"/>
        </w:rPr>
        <w:t>That shape has been used so heavily that readers recognise it before they read a word of it.</w:t>
      </w:r>
    </w:p>
    <w:p>
      <w:pPr>
        <w:spacing w:before="200" w:after="80"/>
      </w:pPr>
      <w:r>
        <w:rPr>
          <w:rFonts w:ascii="Georgia" w:hAnsi="Georgia"/>
          <w:b/>
          <w:color w:val="FA8A11"/>
          <w:sz w:val="28"/>
        </w:rPr>
        <w:t>The fold, and why the first line is theirs</w:t>
      </w:r>
    </w:p>
    <w:p>
      <w:pPr>
        <w:spacing w:after="120"/>
      </w:pPr>
      <w:r>
        <w:rPr>
          <w:rFonts w:ascii="Calibri" w:hAnsi="Calibri"/>
          <w:i w:val="0"/>
          <w:color w:val="2C2925"/>
          <w:sz w:val="22"/>
        </w:rPr>
        <w:t>A post does not appear in the feed in full. It appears cut off, with a see-more control, and the reader chooses whether to open it. Look at your own feed and see where it cuts, because the exact point moves and any character count printed here would be wrong by the time you read it.</w:t>
      </w:r>
    </w:p>
    <w:p>
      <w:pPr>
        <w:spacing w:after="120"/>
      </w:pPr>
      <w:r>
        <w:rPr>
          <w:rFonts w:ascii="Calibri" w:hAnsi="Calibri"/>
          <w:i w:val="0"/>
          <w:color w:val="2C2925"/>
          <w:sz w:val="22"/>
        </w:rPr>
        <w:t>So the visible part is earning the rest of the post. That is why the first line is their own sentence rather than a description of what the post is about.</w:t>
      </w:r>
    </w:p>
    <w:p>
      <w:pPr>
        <w:spacing w:after="120"/>
      </w:pPr>
      <w:r>
        <w:rPr>
          <w:rFonts w:ascii="Calibri" w:hAnsi="Calibri"/>
          <w:i w:val="0"/>
          <w:color w:val="2C2925"/>
          <w:sz w:val="22"/>
        </w:rPr>
        <w:t>Keep the three openings you copied down from the feed somewhere you can see them while you write, as the list of things you are not going to type.</w:t>
      </w:r>
    </w:p>
    <w:p>
      <w:pPr>
        <w:spacing w:before="200" w:after="80"/>
      </w:pPr>
      <w:r>
        <w:rPr>
          <w:rFonts w:ascii="Georgia" w:hAnsi="Georgia"/>
          <w:b/>
          <w:color w:val="FA8A11"/>
          <w:sz w:val="28"/>
        </w:rPr>
        <w:t>Shape one: the correction</w:t>
      </w:r>
    </w:p>
    <w:p>
      <w:pPr>
        <w:spacing w:after="120"/>
      </w:pPr>
      <w:r>
        <w:rPr>
          <w:rFonts w:ascii="Calibri" w:hAnsi="Calibri"/>
          <w:i w:val="0"/>
          <w:color w:val="2C2925"/>
          <w:sz w:val="22"/>
        </w:rPr>
        <w:t>Everybody believes this. Here is why it is wrong. Here is what happened when somebody believed it.</w:t>
      </w:r>
    </w:p>
    <w:tbl>
      <w:tblPr>
        <w:tblStyle w:val="TableGrid"/>
        <w:tblW w:type="auto" w:w="0"/>
        <w:tblLayout w:type="fixed"/>
        <w:tblLook w:firstColumn="1" w:firstRow="1" w:lastColumn="0" w:lastRow="0" w:noHBand="0" w:noVBand="1" w:val="04A0"/>
      </w:tblPr>
      <w:tblGrid>
        <w:gridCol w:w="4819"/>
        <w:gridCol w:w="4819"/>
      </w:tblGrid>
      <w:tr>
        <w:tc>
          <w:tcPr>
            <w:tcW w:type="dxa" w:w="2304"/>
          </w:tcPr>
          <w:p>
            <w:r>
              <w:rPr>
                <w:rFonts w:ascii="Calibri" w:hAnsi="Calibri"/>
                <w:b/>
                <w:color w:val="FA8A11"/>
                <w:sz w:val="19"/>
              </w:rPr>
              <w:t>Line</w:t>
            </w:r>
          </w:p>
        </w:tc>
        <w:tc>
          <w:tcPr>
            <w:tcW w:type="dxa" w:w="7344"/>
          </w:tcPr>
          <w:p>
            <w:r>
              <w:rPr>
                <w:rFonts w:ascii="Calibri" w:hAnsi="Calibri"/>
                <w:b/>
                <w:color w:val="FA8A11"/>
                <w:sz w:val="19"/>
              </w:rPr>
              <w:t>What goes there</w:t>
            </w:r>
          </w:p>
        </w:tc>
      </w:tr>
      <w:tr>
        <w:tc>
          <w:tcPr>
            <w:tcW w:type="dxa" w:w="2304"/>
          </w:tcPr>
          <w:p>
            <w:r>
              <w:rPr>
                <w:rFonts w:ascii="Calibri" w:hAnsi="Calibri"/>
                <w:color w:val="2C2925"/>
                <w:sz w:val="19"/>
              </w:rPr>
              <w:t>First line</w:t>
            </w:r>
          </w:p>
        </w:tc>
        <w:tc>
          <w:tcPr>
            <w:tcW w:type="dxa" w:w="7344"/>
          </w:tcPr>
          <w:p>
            <w:r>
              <w:rPr>
                <w:rFonts w:ascii="Calibri" w:hAnsi="Calibri"/>
                <w:color w:val="2C2925"/>
                <w:sz w:val="19"/>
              </w:rPr>
              <w:t>Their sentence, lifted, unedited.</w:t>
            </w:r>
          </w:p>
        </w:tc>
      </w:tr>
      <w:tr>
        <w:tc>
          <w:tcPr>
            <w:tcW w:type="dxa" w:w="2304"/>
          </w:tcPr>
          <w:p>
            <w:r>
              <w:rPr>
                <w:rFonts w:ascii="Calibri" w:hAnsi="Calibri"/>
                <w:color w:val="2C2925"/>
                <w:sz w:val="19"/>
              </w:rPr>
              <w:t>Second and third</w:t>
            </w:r>
          </w:p>
        </w:tc>
        <w:tc>
          <w:tcPr>
            <w:tcW w:type="dxa" w:w="7344"/>
          </w:tcPr>
          <w:p>
            <w:r>
              <w:rPr>
                <w:rFonts w:ascii="Calibri" w:hAnsi="Calibri"/>
                <w:color w:val="2C2925"/>
                <w:sz w:val="19"/>
              </w:rPr>
              <w:t>The belief, stated plainly as the thing most people hold.</w:t>
            </w:r>
          </w:p>
        </w:tc>
      </w:tr>
      <w:tr>
        <w:tc>
          <w:tcPr>
            <w:tcW w:type="dxa" w:w="2304"/>
          </w:tcPr>
          <w:p>
            <w:r>
              <w:rPr>
                <w:rFonts w:ascii="Calibri" w:hAnsi="Calibri"/>
                <w:color w:val="2C2925"/>
                <w:sz w:val="19"/>
              </w:rPr>
              <w:t>The middle</w:t>
            </w:r>
          </w:p>
        </w:tc>
        <w:tc>
          <w:tcPr>
            <w:tcW w:type="dxa" w:w="7344"/>
          </w:tcPr>
          <w:p>
            <w:r>
              <w:rPr>
                <w:rFonts w:ascii="Calibri" w:hAnsi="Calibri"/>
                <w:color w:val="2C2925"/>
                <w:sz w:val="19"/>
              </w:rPr>
              <w:t>The example in the order they told it, with their numbers exactly as they said them.</w:t>
            </w:r>
          </w:p>
        </w:tc>
      </w:tr>
      <w:tr>
        <w:tc>
          <w:tcPr>
            <w:tcW w:type="dxa" w:w="2304"/>
          </w:tcPr>
          <w:p>
            <w:r>
              <w:rPr>
                <w:rFonts w:ascii="Calibri" w:hAnsi="Calibri"/>
                <w:color w:val="2C2925"/>
                <w:sz w:val="19"/>
              </w:rPr>
              <w:t>Last line</w:t>
            </w:r>
          </w:p>
        </w:tc>
        <w:tc>
          <w:tcPr>
            <w:tcW w:type="dxa" w:w="7344"/>
          </w:tcPr>
          <w:p>
            <w:r>
              <w:rPr>
                <w:rFonts w:ascii="Calibri" w:hAnsi="Calibri"/>
                <w:color w:val="2C2925"/>
                <w:sz w:val="19"/>
              </w:rPr>
              <w:t>What they believe, stated once, without a question mark after it.</w:t>
            </w:r>
          </w:p>
        </w:tc>
      </w:tr>
    </w:tbl>
    <w:p>
      <w:pPr>
        <w:spacing w:after="120"/>
      </w:pPr>
    </w:p>
    <w:p>
      <w:pPr>
        <w:spacing w:before="160" w:after="40"/>
      </w:pPr>
      <w:r>
        <w:rPr>
          <w:rFonts w:ascii="Calibri" w:hAnsi="Calibri"/>
          <w:b/>
          <w:color w:val="13100E"/>
          <w:sz w:val="23"/>
        </w:rPr>
        <w:t>Written out, from the intake</w:t>
      </w:r>
    </w:p>
    <w:p>
      <w:pPr>
        <w:spacing w:after="0"/>
        <w:ind w:left="259"/>
      </w:pPr>
      <w:r>
        <w:rPr>
          <w:rFonts w:ascii="Consolas" w:hAnsi="Consolas"/>
          <w:color w:val="2C2925"/>
          <w:sz w:val="20"/>
        </w:rPr>
        <w:t>Profitable on paper the entire time.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That is what almost every company I have watched get into real</w:t>
      </w:r>
    </w:p>
    <w:p>
      <w:pPr>
        <w:spacing w:after="0"/>
        <w:ind w:left="259"/>
      </w:pPr>
      <w:r>
        <w:rPr>
          <w:rFonts w:ascii="Consolas" w:hAnsi="Consolas"/>
          <w:color w:val="2C2925"/>
          <w:sz w:val="20"/>
        </w:rPr>
        <w:t>trouble looked like, right up until the week it stopped.</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A manufacturer I worked with last year had a thirty percent gross</w:t>
      </w:r>
    </w:p>
    <w:p>
      <w:pPr>
        <w:spacing w:after="0"/>
        <w:ind w:left="259"/>
      </w:pPr>
      <w:r>
        <w:rPr>
          <w:rFonts w:ascii="Consolas" w:hAnsi="Consolas"/>
          <w:color w:val="2C2925"/>
          <w:sz w:val="20"/>
        </w:rPr>
        <w:t>margin and won the biggest order they had ever had. Eight hundred</w:t>
      </w:r>
    </w:p>
    <w:p>
      <w:pPr>
        <w:spacing w:after="0"/>
        <w:ind w:left="259"/>
      </w:pPr>
      <w:r>
        <w:rPr>
          <w:rFonts w:ascii="Consolas" w:hAnsi="Consolas"/>
          <w:color w:val="2C2925"/>
          <w:sz w:val="20"/>
        </w:rPr>
        <w:t>thousand dollars. They bought the materials in March. They were</w:t>
      </w:r>
    </w:p>
    <w:p>
      <w:pPr>
        <w:spacing w:after="0"/>
        <w:ind w:left="259"/>
      </w:pPr>
      <w:r>
        <w:rPr>
          <w:rFonts w:ascii="Consolas" w:hAnsi="Consolas"/>
          <w:color w:val="2C2925"/>
          <w:sz w:val="20"/>
        </w:rPr>
        <w:t>paid in September.</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The best thing that ever happened to them was also the thing that</w:t>
      </w:r>
    </w:p>
    <w:p>
      <w:pPr>
        <w:spacing w:after="0"/>
        <w:ind w:left="259"/>
      </w:pPr>
      <w:r>
        <w:rPr>
          <w:rFonts w:ascii="Consolas" w:hAnsi="Consolas"/>
          <w:color w:val="2C2925"/>
          <w:sz w:val="20"/>
        </w:rPr>
        <w:t>almost took them out.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Businesses do not fail because they are unprofitable. They fail</w:t>
      </w:r>
    </w:p>
    <w:p>
      <w:pPr>
        <w:spacing w:after="160"/>
        <w:ind w:left="259"/>
      </w:pPr>
      <w:r>
        <w:rPr>
          <w:rFonts w:ascii="Consolas" w:hAnsi="Consolas"/>
          <w:color w:val="2C2925"/>
          <w:sz w:val="20"/>
        </w:rPr>
        <w:t>because the profit had not arrived yet.</w:t>
      </w:r>
    </w:p>
    <w:p>
      <w:pPr>
        <w:spacing w:after="160"/>
        <w:ind w:left="648"/>
      </w:pPr>
      <w:r>
        <w:rPr>
          <w:rFonts w:ascii="Calibri" w:hAnsi="Calibri"/>
          <w:i/>
          <w:color w:val="FA8A11"/>
          <w:sz w:val="19"/>
        </w:rPr>
        <w:t>Count what is hers: the first line, the margin, the order size, the two months, the claim at the end. More than half of that post is her. You are not a writer who was handed a topic. You are an editor who was in the room.</w:t>
      </w:r>
    </w:p>
    <w:p>
      <w:pPr>
        <w:spacing w:before="200" w:after="80"/>
      </w:pPr>
      <w:r>
        <w:rPr>
          <w:rFonts w:ascii="Georgia" w:hAnsi="Georgia"/>
          <w:b/>
          <w:color w:val="FA8A11"/>
          <w:sz w:val="28"/>
        </w:rPr>
        <w:t>Shape two: the case</w:t>
      </w:r>
    </w:p>
    <w:p>
      <w:pPr>
        <w:spacing w:after="120"/>
      </w:pPr>
      <w:r>
        <w:rPr>
          <w:rFonts w:ascii="Calibri" w:hAnsi="Calibri"/>
          <w:i w:val="0"/>
          <w:color w:val="2C2925"/>
          <w:sz w:val="22"/>
        </w:rPr>
        <w:t>The same material told forwards instead of backwards. Here is a situation, here is what it looked like from the inside, here is the number at the end. The correction argues and the case shows, and one marked moment usually carries both, which is why one good intake produces more posts than you expect.</w:t>
      </w:r>
    </w:p>
    <w:tbl>
      <w:tblPr>
        <w:tblStyle w:val="TableGrid"/>
        <w:tblW w:type="auto" w:w="0"/>
        <w:tblLayout w:type="fixed"/>
        <w:tblLook w:firstColumn="1" w:firstRow="1" w:lastColumn="0" w:lastRow="0" w:noHBand="0" w:noVBand="1" w:val="04A0"/>
      </w:tblPr>
      <w:tblGrid>
        <w:gridCol w:w="4819"/>
        <w:gridCol w:w="4819"/>
      </w:tblGrid>
      <w:tr>
        <w:tc>
          <w:tcPr>
            <w:tcW w:type="dxa" w:w="2304"/>
          </w:tcPr>
          <w:p>
            <w:r>
              <w:rPr>
                <w:rFonts w:ascii="Calibri" w:hAnsi="Calibri"/>
                <w:b/>
                <w:color w:val="FA8A11"/>
                <w:sz w:val="19"/>
              </w:rPr>
              <w:t>Line</w:t>
            </w:r>
          </w:p>
        </w:tc>
        <w:tc>
          <w:tcPr>
            <w:tcW w:type="dxa" w:w="7344"/>
          </w:tcPr>
          <w:p>
            <w:r>
              <w:rPr>
                <w:rFonts w:ascii="Calibri" w:hAnsi="Calibri"/>
                <w:b/>
                <w:color w:val="FA8A11"/>
                <w:sz w:val="19"/>
              </w:rPr>
              <w:t>What goes there</w:t>
            </w:r>
          </w:p>
        </w:tc>
      </w:tr>
      <w:tr>
        <w:tc>
          <w:tcPr>
            <w:tcW w:type="dxa" w:w="2304"/>
          </w:tcPr>
          <w:p>
            <w:r>
              <w:rPr>
                <w:rFonts w:ascii="Calibri" w:hAnsi="Calibri"/>
                <w:color w:val="2C2925"/>
                <w:sz w:val="19"/>
              </w:rPr>
              <w:t>First line</w:t>
            </w:r>
          </w:p>
        </w:tc>
        <w:tc>
          <w:tcPr>
            <w:tcW w:type="dxa" w:w="7344"/>
          </w:tcPr>
          <w:p>
            <w:r>
              <w:rPr>
                <w:rFonts w:ascii="Calibri" w:hAnsi="Calibri"/>
                <w:color w:val="2C2925"/>
                <w:sz w:val="19"/>
              </w:rPr>
              <w:t>The situation, at its most concrete point. A month and a number.</w:t>
            </w:r>
          </w:p>
        </w:tc>
      </w:tr>
      <w:tr>
        <w:tc>
          <w:tcPr>
            <w:tcW w:type="dxa" w:w="2304"/>
          </w:tcPr>
          <w:p>
            <w:r>
              <w:rPr>
                <w:rFonts w:ascii="Calibri" w:hAnsi="Calibri"/>
                <w:color w:val="2C2925"/>
                <w:sz w:val="19"/>
              </w:rPr>
              <w:t>The middle</w:t>
            </w:r>
          </w:p>
        </w:tc>
        <w:tc>
          <w:tcPr>
            <w:tcW w:type="dxa" w:w="7344"/>
          </w:tcPr>
          <w:p>
            <w:r>
              <w:rPr>
                <w:rFonts w:ascii="Calibri" w:hAnsi="Calibri"/>
                <w:color w:val="2C2925"/>
                <w:sz w:val="19"/>
              </w:rPr>
              <w:t>What it looked like from the inside, in their words, in order.</w:t>
            </w:r>
          </w:p>
        </w:tc>
      </w:tr>
      <w:tr>
        <w:tc>
          <w:tcPr>
            <w:tcW w:type="dxa" w:w="2304"/>
          </w:tcPr>
          <w:p>
            <w:r>
              <w:rPr>
                <w:rFonts w:ascii="Calibri" w:hAnsi="Calibri"/>
                <w:color w:val="2C2925"/>
                <w:sz w:val="19"/>
              </w:rPr>
              <w:t>The turn</w:t>
            </w:r>
          </w:p>
        </w:tc>
        <w:tc>
          <w:tcPr>
            <w:tcW w:type="dxa" w:w="7344"/>
          </w:tcPr>
          <w:p>
            <w:r>
              <w:rPr>
                <w:rFonts w:ascii="Calibri" w:hAnsi="Calibri"/>
                <w:color w:val="2C2925"/>
                <w:sz w:val="19"/>
              </w:rPr>
              <w:t>The moment it became clear. One sentence.</w:t>
            </w:r>
          </w:p>
        </w:tc>
      </w:tr>
      <w:tr>
        <w:tc>
          <w:tcPr>
            <w:tcW w:type="dxa" w:w="2304"/>
          </w:tcPr>
          <w:p>
            <w:r>
              <w:rPr>
                <w:rFonts w:ascii="Calibri" w:hAnsi="Calibri"/>
                <w:color w:val="2C2925"/>
                <w:sz w:val="19"/>
              </w:rPr>
              <w:t>Last line</w:t>
            </w:r>
          </w:p>
        </w:tc>
        <w:tc>
          <w:tcPr>
            <w:tcW w:type="dxa" w:w="7344"/>
          </w:tcPr>
          <w:p>
            <w:r>
              <w:rPr>
                <w:rFonts w:ascii="Calibri" w:hAnsi="Calibri"/>
                <w:color w:val="2C2925"/>
                <w:sz w:val="19"/>
              </w:rPr>
              <w:t>The number at the end, or what it cost, stated flatly.</w:t>
            </w:r>
          </w:p>
        </w:tc>
      </w:tr>
    </w:tbl>
    <w:p>
      <w:pPr>
        <w:spacing w:after="120"/>
      </w:pPr>
    </w:p>
    <w:p>
      <w:pPr>
        <w:spacing w:before="160" w:after="40"/>
      </w:pPr>
      <w:r>
        <w:rPr>
          <w:rFonts w:ascii="Calibri" w:hAnsi="Calibri"/>
          <w:b/>
          <w:color w:val="13100E"/>
          <w:sz w:val="23"/>
        </w:rPr>
        <w:t>Written out, from the same answer</w:t>
      </w:r>
    </w:p>
    <w:p>
      <w:pPr>
        <w:spacing w:after="0"/>
        <w:ind w:left="259"/>
      </w:pPr>
      <w:r>
        <w:rPr>
          <w:rFonts w:ascii="Consolas" w:hAnsi="Consolas"/>
          <w:color w:val="2C2925"/>
          <w:sz w:val="20"/>
        </w:rPr>
        <w:t>In March a client of mine spent everything they had on steel.</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They had just won an eight hundred thousand dollar order, the</w:t>
      </w:r>
    </w:p>
    <w:p>
      <w:pPr>
        <w:spacing w:after="0"/>
        <w:ind w:left="259"/>
      </w:pPr>
      <w:r>
        <w:rPr>
          <w:rFonts w:ascii="Consolas" w:hAnsi="Consolas"/>
          <w:color w:val="2C2925"/>
          <w:sz w:val="20"/>
        </w:rPr>
        <w:t>biggest in the company's history, on a thirty percent margin.</w:t>
      </w:r>
    </w:p>
    <w:p>
      <w:pPr>
        <w:spacing w:after="0"/>
        <w:ind w:left="259"/>
      </w:pPr>
      <w:r>
        <w:rPr>
          <w:rFonts w:ascii="Consolas" w:hAnsi="Consolas"/>
          <w:color w:val="2C2925"/>
          <w:sz w:val="20"/>
        </w:rPr>
        <w:t>Everyone was delighted. I was doing the cash forecast.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Materials out in March. Payment in from the customer in September.</w:t>
      </w:r>
    </w:p>
    <w:p>
      <w:pPr>
        <w:spacing w:after="0"/>
        <w:ind w:left="259"/>
      </w:pPr>
      <w:r>
        <w:rPr>
          <w:rFonts w:ascii="Consolas" w:hAnsi="Consolas"/>
          <w:color w:val="2C2925"/>
          <w:sz w:val="20"/>
        </w:rPr>
        <w:t>Six months of payroll, rent and suppliers in between, funded</w:t>
      </w:r>
    </w:p>
    <w:p>
      <w:pPr>
        <w:spacing w:after="0"/>
        <w:ind w:left="259"/>
      </w:pPr>
      <w:r>
        <w:rPr>
          <w:rFonts w:ascii="Consolas" w:hAnsi="Consolas"/>
          <w:color w:val="2C2925"/>
          <w:sz w:val="20"/>
        </w:rPr>
        <w:t>entirely out of a business that was, on every report I produced,</w:t>
      </w:r>
    </w:p>
    <w:p>
      <w:pPr>
        <w:spacing w:after="0"/>
        <w:ind w:left="259"/>
      </w:pPr>
      <w:r>
        <w:rPr>
          <w:rFonts w:ascii="Consolas" w:hAnsi="Consolas"/>
          <w:color w:val="2C2925"/>
          <w:sz w:val="20"/>
        </w:rPr>
        <w:t>comfortably profitable.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We got through it by moving two supplier payments onto terms and</w:t>
      </w:r>
    </w:p>
    <w:p>
      <w:pPr>
        <w:spacing w:after="0"/>
        <w:ind w:left="259"/>
      </w:pPr>
      <w:r>
        <w:rPr>
          <w:rFonts w:ascii="Consolas" w:hAnsi="Consolas"/>
          <w:color w:val="2C2925"/>
          <w:sz w:val="20"/>
        </w:rPr>
        <w:t>delaying a hire by a quarter. It was closer than anyone in that</w:t>
      </w:r>
    </w:p>
    <w:p>
      <w:pPr>
        <w:spacing w:after="0"/>
        <w:ind w:left="259"/>
      </w:pPr>
      <w:r>
        <w:rPr>
          <w:rFonts w:ascii="Consolas" w:hAnsi="Consolas"/>
          <w:color w:val="2C2925"/>
          <w:sz w:val="20"/>
        </w:rPr>
        <w:t>building realised.</w:t>
      </w:r>
    </w:p>
    <w:p>
      <w:pPr>
        <w:spacing w:after="0"/>
        <w:ind w:left="259"/>
      </w:pPr>
      <w:r>
        <w:rPr>
          <w:rFonts w:ascii="Consolas" w:hAnsi="Consolas"/>
          <w:color w:val="2C2925"/>
          <w:sz w:val="20"/>
        </w:rPr>
        <w:t xml:space="preserve"> </w:t>
      </w:r>
    </w:p>
    <w:p>
      <w:pPr>
        <w:spacing w:after="160"/>
        <w:ind w:left="259"/>
      </w:pPr>
      <w:r>
        <w:rPr>
          <w:rFonts w:ascii="Consolas" w:hAnsi="Consolas"/>
          <w:color w:val="2C2925"/>
          <w:sz w:val="20"/>
        </w:rPr>
        <w:t>Profit is an opinion about the year. Cash is a fact about Friday.</w:t>
      </w:r>
    </w:p>
    <w:p>
      <w:pPr>
        <w:spacing w:after="160"/>
        <w:ind w:left="648"/>
      </w:pPr>
      <w:r>
        <w:rPr>
          <w:rFonts w:ascii="Calibri" w:hAnsi="Calibri"/>
          <w:i/>
          <w:color w:val="8A7A6A"/>
          <w:sz w:val="19"/>
        </w:rPr>
        <w:t>Same marked moment, different shape, and it can go out three weeks after the first one without either reading like a repeat.</w:t>
      </w:r>
    </w:p>
    <w:p>
      <w:pPr>
        <w:spacing w:before="200" w:after="80"/>
      </w:pPr>
      <w:r>
        <w:rPr>
          <w:rFonts w:ascii="Georgia" w:hAnsi="Georgia"/>
          <w:b/>
          <w:color w:val="FA8A11"/>
          <w:sz w:val="28"/>
        </w:rPr>
        <w:t>Shape three: the distinction</w:t>
      </w:r>
    </w:p>
    <w:p>
      <w:pPr>
        <w:spacing w:after="120"/>
      </w:pPr>
      <w:r>
        <w:rPr>
          <w:rFonts w:ascii="Calibri" w:hAnsi="Calibri"/>
          <w:i w:val="0"/>
          <w:color w:val="2C2925"/>
          <w:sz w:val="22"/>
        </w:rPr>
        <w:t>Two things people treat as the same, the difference between them, and what the difference costs.</w:t>
      </w:r>
    </w:p>
    <w:tbl>
      <w:tblPr>
        <w:tblStyle w:val="TableGrid"/>
        <w:tblW w:type="auto" w:w="0"/>
        <w:tblLayout w:type="fixed"/>
        <w:tblLook w:firstColumn="1" w:firstRow="1" w:lastColumn="0" w:lastRow="0" w:noHBand="0" w:noVBand="1" w:val="04A0"/>
      </w:tblPr>
      <w:tblGrid>
        <w:gridCol w:w="4819"/>
        <w:gridCol w:w="4819"/>
      </w:tblGrid>
      <w:tr>
        <w:tc>
          <w:tcPr>
            <w:tcW w:type="dxa" w:w="2304"/>
          </w:tcPr>
          <w:p>
            <w:r>
              <w:rPr>
                <w:rFonts w:ascii="Calibri" w:hAnsi="Calibri"/>
                <w:b/>
                <w:color w:val="FA8A11"/>
                <w:sz w:val="19"/>
              </w:rPr>
              <w:t>Line</w:t>
            </w:r>
          </w:p>
        </w:tc>
        <w:tc>
          <w:tcPr>
            <w:tcW w:type="dxa" w:w="7344"/>
          </w:tcPr>
          <w:p>
            <w:r>
              <w:rPr>
                <w:rFonts w:ascii="Calibri" w:hAnsi="Calibri"/>
                <w:b/>
                <w:color w:val="FA8A11"/>
                <w:sz w:val="19"/>
              </w:rPr>
              <w:t>What goes there</w:t>
            </w:r>
          </w:p>
        </w:tc>
      </w:tr>
      <w:tr>
        <w:tc>
          <w:tcPr>
            <w:tcW w:type="dxa" w:w="2304"/>
          </w:tcPr>
          <w:p>
            <w:r>
              <w:rPr>
                <w:rFonts w:ascii="Calibri" w:hAnsi="Calibri"/>
                <w:color w:val="2C2925"/>
                <w:sz w:val="19"/>
              </w:rPr>
              <w:t>First line</w:t>
            </w:r>
          </w:p>
        </w:tc>
        <w:tc>
          <w:tcPr>
            <w:tcW w:type="dxa" w:w="7344"/>
          </w:tcPr>
          <w:p>
            <w:r>
              <w:rPr>
                <w:rFonts w:ascii="Calibri" w:hAnsi="Calibri"/>
                <w:color w:val="2C2925"/>
                <w:sz w:val="19"/>
              </w:rPr>
              <w:t>The two things, named, and the claim that they are not the same.</w:t>
            </w:r>
          </w:p>
        </w:tc>
      </w:tr>
      <w:tr>
        <w:tc>
          <w:tcPr>
            <w:tcW w:type="dxa" w:w="2304"/>
          </w:tcPr>
          <w:p>
            <w:r>
              <w:rPr>
                <w:rFonts w:ascii="Calibri" w:hAnsi="Calibri"/>
                <w:color w:val="2C2925"/>
                <w:sz w:val="19"/>
              </w:rPr>
              <w:t>The middle</w:t>
            </w:r>
          </w:p>
        </w:tc>
        <w:tc>
          <w:tcPr>
            <w:tcW w:type="dxa" w:w="7344"/>
          </w:tcPr>
          <w:p>
            <w:r>
              <w:rPr>
                <w:rFonts w:ascii="Calibri" w:hAnsi="Calibri"/>
                <w:color w:val="2C2925"/>
                <w:sz w:val="19"/>
              </w:rPr>
              <w:t>One sentence defining each, in their words rather than the textbook's.</w:t>
            </w:r>
          </w:p>
        </w:tc>
      </w:tr>
      <w:tr>
        <w:tc>
          <w:tcPr>
            <w:tcW w:type="dxa" w:w="2304"/>
          </w:tcPr>
          <w:p>
            <w:r>
              <w:rPr>
                <w:rFonts w:ascii="Calibri" w:hAnsi="Calibri"/>
                <w:color w:val="2C2925"/>
                <w:sz w:val="19"/>
              </w:rPr>
              <w:t>The cost</w:t>
            </w:r>
          </w:p>
        </w:tc>
        <w:tc>
          <w:tcPr>
            <w:tcW w:type="dxa" w:w="7344"/>
          </w:tcPr>
          <w:p>
            <w:r>
              <w:rPr>
                <w:rFonts w:ascii="Calibri" w:hAnsi="Calibri"/>
                <w:color w:val="2C2925"/>
                <w:sz w:val="19"/>
              </w:rPr>
              <w:t>What it costs to confuse them, with an occasion attached.</w:t>
            </w:r>
          </w:p>
        </w:tc>
      </w:tr>
      <w:tr>
        <w:tc>
          <w:tcPr>
            <w:tcW w:type="dxa" w:w="2304"/>
          </w:tcPr>
          <w:p>
            <w:r>
              <w:rPr>
                <w:rFonts w:ascii="Calibri" w:hAnsi="Calibri"/>
                <w:color w:val="2C2925"/>
                <w:sz w:val="19"/>
              </w:rPr>
              <w:t>Last line</w:t>
            </w:r>
          </w:p>
        </w:tc>
        <w:tc>
          <w:tcPr>
            <w:tcW w:type="dxa" w:w="7344"/>
          </w:tcPr>
          <w:p>
            <w:r>
              <w:rPr>
                <w:rFonts w:ascii="Calibri" w:hAnsi="Calibri"/>
                <w:color w:val="2C2925"/>
                <w:sz w:val="19"/>
              </w:rPr>
              <w:t>Their own image, untouched.</w:t>
            </w:r>
          </w:p>
        </w:tc>
      </w:tr>
    </w:tbl>
    <w:p>
      <w:pPr>
        <w:spacing w:after="120"/>
      </w:pPr>
    </w:p>
    <w:p>
      <w:pPr>
        <w:spacing w:before="160" w:after="40"/>
      </w:pPr>
      <w:r>
        <w:rPr>
          <w:rFonts w:ascii="Calibri" w:hAnsi="Calibri"/>
          <w:b/>
          <w:color w:val="13100E"/>
          <w:sz w:val="23"/>
        </w:rPr>
        <w:t>Written out</w:t>
      </w:r>
    </w:p>
    <w:p>
      <w:pPr>
        <w:spacing w:after="0"/>
        <w:ind w:left="259"/>
      </w:pPr>
      <w:r>
        <w:rPr>
          <w:rFonts w:ascii="Consolas" w:hAnsi="Consolas"/>
          <w:color w:val="2C2925"/>
          <w:sz w:val="20"/>
        </w:rPr>
        <w:t>A forecast is not a budget, and I had to say that twice on</w:t>
      </w:r>
    </w:p>
    <w:p>
      <w:pPr>
        <w:spacing w:after="0"/>
        <w:ind w:left="259"/>
      </w:pPr>
      <w:r>
        <w:rPr>
          <w:rFonts w:ascii="Consolas" w:hAnsi="Consolas"/>
          <w:color w:val="2C2925"/>
          <w:sz w:val="20"/>
        </w:rPr>
        <w:t>Thursday to two different people who both looked at me like I was</w:t>
      </w:r>
    </w:p>
    <w:p>
      <w:pPr>
        <w:spacing w:after="0"/>
        <w:ind w:left="259"/>
      </w:pPr>
      <w:r>
        <w:rPr>
          <w:rFonts w:ascii="Consolas" w:hAnsi="Consolas"/>
          <w:color w:val="2C2925"/>
          <w:sz w:val="20"/>
        </w:rPr>
        <w:t>being pedantic.</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A budget is a promise you made in December.</w:t>
      </w:r>
    </w:p>
    <w:p>
      <w:pPr>
        <w:spacing w:after="0"/>
        <w:ind w:left="259"/>
      </w:pPr>
      <w:r>
        <w:rPr>
          <w:rFonts w:ascii="Consolas" w:hAnsi="Consolas"/>
          <w:color w:val="2C2925"/>
          <w:sz w:val="20"/>
        </w:rPr>
        <w:t>A forecast is what you now think is going to happen.</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The reason it matters is that one of them is allowed to change.</w:t>
      </w:r>
    </w:p>
    <w:p>
      <w:pPr>
        <w:spacing w:after="0"/>
        <w:ind w:left="259"/>
      </w:pPr>
      <w:r>
        <w:rPr>
          <w:rFonts w:ascii="Consolas" w:hAnsi="Consolas"/>
          <w:color w:val="2C2925"/>
          <w:sz w:val="20"/>
        </w:rPr>
        <w:t>If you are still managing to the promise in June, every decision</w:t>
      </w:r>
    </w:p>
    <w:p>
      <w:pPr>
        <w:spacing w:after="0"/>
        <w:ind w:left="259"/>
      </w:pPr>
      <w:r>
        <w:rPr>
          <w:rFonts w:ascii="Consolas" w:hAnsi="Consolas"/>
          <w:color w:val="2C2925"/>
          <w:sz w:val="20"/>
        </w:rPr>
        <w:t>you make is being measured against a document written by somebody</w:t>
      </w:r>
    </w:p>
    <w:p>
      <w:pPr>
        <w:spacing w:after="0"/>
        <w:ind w:left="259"/>
      </w:pPr>
      <w:r>
        <w:rPr>
          <w:rFonts w:ascii="Consolas" w:hAnsi="Consolas"/>
          <w:color w:val="2C2925"/>
          <w:sz w:val="20"/>
        </w:rPr>
        <w:t>who did not know what you know now.</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If you are still managing to the promise in June, you are driving</w:t>
      </w:r>
    </w:p>
    <w:p>
      <w:pPr>
        <w:spacing w:after="160"/>
        <w:ind w:left="259"/>
      </w:pPr>
      <w:r>
        <w:rPr>
          <w:rFonts w:ascii="Consolas" w:hAnsi="Consolas"/>
          <w:color w:val="2C2925"/>
          <w:sz w:val="20"/>
        </w:rPr>
        <w:t>using a map you drew before you left.</w:t>
      </w:r>
    </w:p>
    <w:p>
      <w:pPr>
        <w:spacing w:after="160"/>
        <w:ind w:left="648"/>
      </w:pPr>
      <w:r>
        <w:rPr>
          <w:rFonts w:ascii="Calibri" w:hAnsi="Calibri"/>
          <w:i/>
          <w:color w:val="FA8A11"/>
          <w:sz w:val="19"/>
        </w:rPr>
        <w:t>Her line goes in untouched as the last line, because nothing you write will beat it.</w:t>
      </w:r>
    </w:p>
    <w:p>
      <w:pPr>
        <w:spacing w:before="200" w:after="80"/>
      </w:pPr>
      <w:r>
        <w:rPr>
          <w:rFonts w:ascii="Georgia" w:hAnsi="Georgia"/>
          <w:b/>
          <w:color w:val="FA8A11"/>
          <w:sz w:val="28"/>
        </w:rPr>
        <w:t>Sorting your own material</w:t>
      </w:r>
    </w:p>
    <w:p>
      <w:pPr>
        <w:spacing w:after="120"/>
      </w:pPr>
      <w:r>
        <w:rPr>
          <w:rFonts w:ascii="Calibri" w:hAnsi="Calibri"/>
          <w:i w:val="0"/>
          <w:color w:val="2C2925"/>
          <w:sz w:val="22"/>
        </w:rPr>
        <w:t>Take the marked moments out of the topic bank and put each one into one of the three piles. You will usually find more than a month of posts already sitting there.</w:t>
      </w:r>
    </w:p>
    <w:tbl>
      <w:tblPr>
        <w:tblStyle w:val="TableGrid"/>
        <w:tblW w:type="auto" w:w="0"/>
        <w:tblLayout w:type="fixed"/>
        <w:tblLook w:firstColumn="1" w:firstRow="1" w:lastColumn="0" w:lastRow="0" w:noHBand="0" w:noVBand="1" w:val="04A0"/>
      </w:tblPr>
      <w:tblGrid>
        <w:gridCol w:w="4819"/>
        <w:gridCol w:w="4819"/>
      </w:tblGrid>
      <w:tr>
        <w:tc>
          <w:tcPr>
            <w:tcW w:type="dxa" w:w="4896"/>
          </w:tcPr>
          <w:p>
            <w:r>
              <w:rPr>
                <w:rFonts w:ascii="Calibri" w:hAnsi="Calibri"/>
                <w:b/>
                <w:color w:val="FA8A11"/>
                <w:sz w:val="19"/>
              </w:rPr>
              <w:t>If the moment is mostly...</w:t>
            </w:r>
          </w:p>
        </w:tc>
        <w:tc>
          <w:tcPr>
            <w:tcW w:type="dxa" w:w="4752"/>
          </w:tcPr>
          <w:p>
            <w:r>
              <w:rPr>
                <w:rFonts w:ascii="Calibri" w:hAnsi="Calibri"/>
                <w:b/>
                <w:color w:val="FA8A11"/>
                <w:sz w:val="19"/>
              </w:rPr>
              <w:t>It is a...</w:t>
            </w:r>
          </w:p>
        </w:tc>
      </w:tr>
      <w:tr>
        <w:tc>
          <w:tcPr>
            <w:tcW w:type="dxa" w:w="4896"/>
          </w:tcPr>
          <w:p>
            <w:r>
              <w:rPr>
                <w:rFonts w:ascii="Calibri" w:hAnsi="Calibri"/>
                <w:color w:val="2C2925"/>
                <w:sz w:val="19"/>
              </w:rPr>
              <w:t>A belief they hold that others do not</w:t>
            </w:r>
          </w:p>
        </w:tc>
        <w:tc>
          <w:tcPr>
            <w:tcW w:type="dxa" w:w="4752"/>
          </w:tcPr>
          <w:p>
            <w:r>
              <w:rPr>
                <w:rFonts w:ascii="Calibri" w:hAnsi="Calibri"/>
                <w:color w:val="2C2925"/>
                <w:sz w:val="19"/>
              </w:rPr>
              <w:t>Correction</w:t>
            </w:r>
          </w:p>
        </w:tc>
      </w:tr>
      <w:tr>
        <w:tc>
          <w:tcPr>
            <w:tcW w:type="dxa" w:w="4896"/>
          </w:tcPr>
          <w:p>
            <w:r>
              <w:rPr>
                <w:rFonts w:ascii="Calibri" w:hAnsi="Calibri"/>
                <w:color w:val="2C2925"/>
                <w:sz w:val="19"/>
              </w:rPr>
              <w:t>A thing that happened, with numbers in it</w:t>
            </w:r>
          </w:p>
        </w:tc>
        <w:tc>
          <w:tcPr>
            <w:tcW w:type="dxa" w:w="4752"/>
          </w:tcPr>
          <w:p>
            <w:r>
              <w:rPr>
                <w:rFonts w:ascii="Calibri" w:hAnsi="Calibri"/>
                <w:color w:val="2C2925"/>
                <w:sz w:val="19"/>
              </w:rPr>
              <w:t>Case</w:t>
            </w:r>
          </w:p>
        </w:tc>
      </w:tr>
      <w:tr>
        <w:tc>
          <w:tcPr>
            <w:tcW w:type="dxa" w:w="4896"/>
          </w:tcPr>
          <w:p>
            <w:r>
              <w:rPr>
                <w:rFonts w:ascii="Calibri" w:hAnsi="Calibri"/>
                <w:color w:val="2C2925"/>
                <w:sz w:val="19"/>
              </w:rPr>
              <w:t>Two words people use interchangeably</w:t>
            </w:r>
          </w:p>
        </w:tc>
        <w:tc>
          <w:tcPr>
            <w:tcW w:type="dxa" w:w="4752"/>
          </w:tcPr>
          <w:p>
            <w:r>
              <w:rPr>
                <w:rFonts w:ascii="Calibri" w:hAnsi="Calibri"/>
                <w:color w:val="2C2925"/>
                <w:sz w:val="19"/>
              </w:rPr>
              <w:t>Distinction</w:t>
            </w:r>
          </w:p>
        </w:tc>
      </w:tr>
      <w:tr>
        <w:tc>
          <w:tcPr>
            <w:tcW w:type="dxa" w:w="4896"/>
          </w:tcPr>
          <w:p>
            <w:r>
              <w:rPr>
                <w:rFonts w:ascii="Calibri" w:hAnsi="Calibri"/>
                <w:color w:val="2C2925"/>
                <w:sz w:val="19"/>
              </w:rPr>
              <w:t>A decision they made and would defend</w:t>
            </w:r>
          </w:p>
        </w:tc>
        <w:tc>
          <w:tcPr>
            <w:tcW w:type="dxa" w:w="4752"/>
          </w:tcPr>
          <w:p>
            <w:r>
              <w:rPr>
                <w:rFonts w:ascii="Calibri" w:hAnsi="Calibri"/>
                <w:color w:val="2C2925"/>
                <w:sz w:val="19"/>
              </w:rPr>
              <w:t>Correction, or a case if it has a month on it</w:t>
            </w:r>
          </w:p>
        </w:tc>
      </w:tr>
      <w:tr>
        <w:tc>
          <w:tcPr>
            <w:tcW w:type="dxa" w:w="4896"/>
          </w:tcPr>
          <w:p>
            <w:r>
              <w:rPr>
                <w:rFonts w:ascii="Calibri" w:hAnsi="Calibri"/>
                <w:color w:val="2C2925"/>
                <w:sz w:val="19"/>
              </w:rPr>
              <w:t>A question they are tired of answering</w:t>
            </w:r>
          </w:p>
        </w:tc>
        <w:tc>
          <w:tcPr>
            <w:tcW w:type="dxa" w:w="4752"/>
          </w:tcPr>
          <w:p>
            <w:r>
              <w:rPr>
                <w:rFonts w:ascii="Calibri" w:hAnsi="Calibri"/>
                <w:color w:val="2C2925"/>
                <w:sz w:val="19"/>
              </w:rPr>
              <w:t>Distinction, usually, because the tiredness is about a confusion</w:t>
            </w:r>
          </w:p>
        </w:tc>
      </w:tr>
    </w:tbl>
    <w:p>
      <w:pPr>
        <w:spacing w:after="120"/>
      </w:pPr>
    </w:p>
    <w:p>
      <w:pPr>
        <w:spacing w:before="200" w:after="80"/>
      </w:pPr>
      <w:r>
        <w:rPr>
          <w:rFonts w:ascii="Georgia" w:hAnsi="Georgia"/>
          <w:b/>
          <w:color w:val="FA8A11"/>
          <w:sz w:val="28"/>
        </w:rPr>
        <w:t>The test that decides whether it is finished</w:t>
      </w:r>
    </w:p>
    <w:p>
      <w:pPr>
        <w:spacing w:after="120"/>
      </w:pPr>
      <w:r>
        <w:rPr>
          <w:rFonts w:ascii="Calibri" w:hAnsi="Calibri"/>
          <w:i w:val="0"/>
          <w:color w:val="2C2925"/>
          <w:sz w:val="22"/>
        </w:rPr>
        <w:t>Score your own post the way you scored the feed. Four marks. Anything at two or below goes back, and the fix is almost never better writing. It is going back to the transcript and putting the specific thing back in.</w:t>
      </w:r>
    </w:p>
    <w:p>
      <w:pPr>
        <w:spacing w:after="60"/>
        <w:ind w:left="259"/>
      </w:pPr>
      <w:r>
        <w:rPr>
          <w:rFonts w:ascii="Consolas" w:hAnsi="Consolas"/>
          <w:color w:val="FA8A11"/>
          <w:sz w:val="22"/>
        </w:rPr>
        <w:t xml:space="preserve">[  ]  </w:t>
      </w:r>
      <w:r>
        <w:rPr>
          <w:rFonts w:ascii="Calibri" w:hAnsi="Calibri"/>
          <w:color w:val="2C2925"/>
          <w:sz w:val="22"/>
        </w:rPr>
        <w:t>A number that came out of their own work</w:t>
      </w:r>
    </w:p>
    <w:p>
      <w:pPr>
        <w:spacing w:after="60"/>
        <w:ind w:left="259"/>
      </w:pPr>
      <w:r>
        <w:rPr>
          <w:rFonts w:ascii="Consolas" w:hAnsi="Consolas"/>
          <w:color w:val="FA8A11"/>
          <w:sz w:val="22"/>
        </w:rPr>
        <w:t xml:space="preserve">[  ]  </w:t>
      </w:r>
      <w:r>
        <w:rPr>
          <w:rFonts w:ascii="Calibri" w:hAnsi="Calibri"/>
          <w:color w:val="2C2925"/>
          <w:sz w:val="22"/>
        </w:rPr>
        <w:t>A specific occasion</w:t>
      </w:r>
    </w:p>
    <w:p>
      <w:pPr>
        <w:spacing w:after="60"/>
        <w:ind w:left="259"/>
      </w:pPr>
      <w:r>
        <w:rPr>
          <w:rFonts w:ascii="Consolas" w:hAnsi="Consolas"/>
          <w:color w:val="FA8A11"/>
          <w:sz w:val="22"/>
        </w:rPr>
        <w:t xml:space="preserve">[  ]  </w:t>
      </w:r>
      <w:r>
        <w:rPr>
          <w:rFonts w:ascii="Calibri" w:hAnsi="Calibri"/>
          <w:color w:val="2C2925"/>
          <w:sz w:val="22"/>
        </w:rPr>
        <w:t>A decision somebody actually made</w:t>
      </w:r>
    </w:p>
    <w:p>
      <w:pPr>
        <w:spacing w:after="60"/>
        <w:ind w:left="259"/>
      </w:pPr>
      <w:r>
        <w:rPr>
          <w:rFonts w:ascii="Consolas" w:hAnsi="Consolas"/>
          <w:color w:val="FA8A11"/>
          <w:sz w:val="22"/>
        </w:rPr>
        <w:t xml:space="preserve">[  ]  </w:t>
      </w:r>
      <w:r>
        <w:rPr>
          <w:rFonts w:ascii="Calibri" w:hAnsi="Calibri"/>
          <w:color w:val="2C2925"/>
          <w:sz w:val="22"/>
        </w:rPr>
        <w:t>Something a reasonable person in the same trade could disagree with</w:t>
      </w:r>
    </w:p>
    <w:p>
      <w:pPr>
        <w:spacing w:after="60"/>
        <w:ind w:left="259"/>
      </w:pPr>
      <w:r>
        <w:rPr>
          <w:rFonts w:ascii="Consolas" w:hAnsi="Consolas"/>
          <w:color w:val="FA8A11"/>
          <w:sz w:val="22"/>
        </w:rPr>
        <w:t xml:space="preserve">[  ]  </w:t>
      </w:r>
      <w:r>
        <w:rPr>
          <w:rFonts w:ascii="Calibri" w:hAnsi="Calibri"/>
          <w:color w:val="2C2925"/>
          <w:sz w:val="22"/>
        </w:rPr>
        <w:t>First line is their sentence, not a description of the post</w:t>
      </w:r>
    </w:p>
    <w:p>
      <w:pPr>
        <w:spacing w:after="60"/>
        <w:ind w:left="259"/>
      </w:pPr>
      <w:r>
        <w:rPr>
          <w:rFonts w:ascii="Consolas" w:hAnsi="Consolas"/>
          <w:color w:val="FA8A11"/>
          <w:sz w:val="22"/>
        </w:rPr>
        <w:t xml:space="preserve">[  ]  </w:t>
      </w:r>
      <w:r>
        <w:rPr>
          <w:rFonts w:ascii="Calibri" w:hAnsi="Calibri"/>
          <w:color w:val="2C2925"/>
          <w:sz w:val="22"/>
        </w:rPr>
        <w:t>Last line is a thought, not an instruction</w:t>
      </w:r>
    </w:p>
    <w:p>
      <w:pPr>
        <w:spacing w:after="60"/>
        <w:ind w:left="259"/>
      </w:pPr>
      <w:r>
        <w:rPr>
          <w:rFonts w:ascii="Consolas" w:hAnsi="Consolas"/>
          <w:color w:val="FA8A11"/>
          <w:sz w:val="22"/>
        </w:rPr>
        <w:t xml:space="preserve">[  ]  </w:t>
      </w:r>
      <w:r>
        <w:rPr>
          <w:rFonts w:ascii="Calibri" w:hAnsi="Calibri"/>
          <w:color w:val="2C2925"/>
          <w:sz w:val="22"/>
        </w:rPr>
        <w:t>No opening from the list of three you copied down</w:t>
      </w:r>
    </w:p>
    <w:p>
      <w:pPr>
        <w:spacing w:before="240"/>
      </w:pPr>
      <w:r>
        <w:rPr>
          <w:rFonts w:ascii="Calibri" w:hAnsi="Calibri"/>
          <w:i/>
          <w:color w:val="8A7A6A"/>
          <w:sz w:val="18"/>
        </w:rPr>
        <w:t>Eight posts for the first month. Not twelve and not sixteen. Eight is enough to establish a rhythm and few enough that every one of them can be good, and the first month is the month a client decides whether you are worth keeping.</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