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right"/>
      </w:pPr>
      <w:r>
        <w:rPr>
          <w:rFonts w:ascii="Calibri" w:hAnsi="Calibri"/>
          <w:b/>
          <w:color w:val="FA8A11"/>
          <w:sz w:val="18"/>
        </w:rPr>
        <w:t>IDEASREPAY</w:t>
      </w:r>
    </w:p>
    <w:p>
      <w:pPr>
        <w:spacing w:after="120"/>
        <w:jc w:val="right"/>
      </w:pPr>
      <w:r>
        <w:rPr>
          <w:rFonts w:ascii="Calibri" w:hAnsi="Calibri"/>
          <w:color w:val="AAAAAA"/>
          <w:sz w:val="16"/>
        </w:rPr>
        <w:t>lgs-practice-intake</w:t>
      </w:r>
    </w:p>
    <w:p>
      <w:pPr>
        <w:spacing w:after="40"/>
      </w:pPr>
      <w:r>
        <w:rPr>
          <w:rFonts w:ascii="Georgia" w:hAnsi="Georgia"/>
          <w:b/>
          <w:color w:val="13100E"/>
          <w:sz w:val="48"/>
        </w:rPr>
        <w:t>The Practice Intake</w:t>
      </w:r>
    </w:p>
    <w:p>
      <w:pPr>
        <w:spacing w:after="200"/>
      </w:pPr>
      <w:r>
        <w:rPr>
          <w:rFonts w:ascii="Calibri" w:hAnsi="Calibri"/>
          <w:color w:val="8A7A6A"/>
          <w:sz w:val="22"/>
        </w:rPr>
        <w:t>The LinkedIn Ghostwriting Service - IdeasRepay Blueprint #05</w:t>
      </w:r>
    </w:p>
    <w:p>
      <w:pPr>
        <w:spacing w:after="200"/>
      </w:pPr>
      <w:r>
        <w:rPr>
          <w:rFonts w:ascii="Calibri" w:hAnsi="Calibri"/>
          <w:color w:val="2C2925"/>
          <w:sz w:val="22"/>
        </w:rPr>
        <w:t>For the reader who has nobody to interview yet, and that is common. This is a second complete intake, in a different category, written out exactly as one runs, including the answer that gives you nothing and the rescue that follows it. It is unmarked on purpose.</w:t>
      </w:r>
    </w:p>
    <w:p>
      <w:pPr>
        <w:spacing w:before="120" w:after="160"/>
        <w:ind w:left="259"/>
      </w:pPr>
      <w:r>
        <w:rPr>
          <w:rFonts w:ascii="Calibri" w:hAnsi="Calibri"/>
          <w:b/>
          <w:color w:val="FA8A11"/>
          <w:sz w:val="22"/>
        </w:rPr>
        <w:t>How to use it: read it once. Then read it again with the question set open beside you and mark it yourself.</w:t>
      </w:r>
    </w:p>
    <w:p>
      <w:pPr>
        <w:spacing w:after="60"/>
        <w:ind w:left="259"/>
      </w:pPr>
      <w:r>
        <w:rPr>
          <w:rFonts w:ascii="Calibri" w:hAnsi="Calibri"/>
          <w:color w:val="FA8A11"/>
          <w:sz w:val="22"/>
        </w:rPr>
        <w:t xml:space="preserve">-  </w:t>
      </w:r>
      <w:r>
        <w:rPr>
          <w:rFonts w:ascii="Calibri" w:hAnsi="Calibri"/>
          <w:color w:val="2C2925"/>
          <w:sz w:val="22"/>
        </w:rPr>
        <w:t>Where would you have asked for an example, and where did the writer let a summary stand.</w:t>
      </w:r>
    </w:p>
    <w:p>
      <w:pPr>
        <w:spacing w:after="60"/>
        <w:ind w:left="259"/>
      </w:pPr>
      <w:r>
        <w:rPr>
          <w:rFonts w:ascii="Calibri" w:hAnsi="Calibri"/>
          <w:color w:val="FA8A11"/>
          <w:sz w:val="22"/>
        </w:rPr>
        <w:t xml:space="preserve">-  </w:t>
      </w:r>
      <w:r>
        <w:rPr>
          <w:rFonts w:ascii="Calibri" w:hAnsi="Calibri"/>
          <w:color w:val="2C2925"/>
          <w:sz w:val="22"/>
        </w:rPr>
        <w:t>Score every answer out of four and write the score in the margin.</w:t>
      </w:r>
    </w:p>
    <w:p>
      <w:pPr>
        <w:spacing w:after="60"/>
        <w:ind w:left="259"/>
      </w:pPr>
      <w:r>
        <w:rPr>
          <w:rFonts w:ascii="Calibri" w:hAnsi="Calibri"/>
          <w:color w:val="FA8A11"/>
          <w:sz w:val="22"/>
        </w:rPr>
        <w:t xml:space="preserve">-  </w:t>
      </w:r>
      <w:r>
        <w:rPr>
          <w:rFonts w:ascii="Calibri" w:hAnsi="Calibri"/>
          <w:color w:val="2C2925"/>
          <w:sz w:val="22"/>
        </w:rPr>
        <w:t>Underline every sentence you would lift word for word into a post.</w:t>
      </w:r>
    </w:p>
    <w:p>
      <w:pPr>
        <w:spacing w:after="60"/>
        <w:ind w:left="259"/>
      </w:pPr>
      <w:r>
        <w:rPr>
          <w:rFonts w:ascii="Calibri" w:hAnsi="Calibri"/>
          <w:color w:val="FA8A11"/>
          <w:sz w:val="22"/>
        </w:rPr>
        <w:t xml:space="preserve">-  </w:t>
      </w:r>
      <w:r>
        <w:rPr>
          <w:rFonts w:ascii="Calibri" w:hAnsi="Calibri"/>
          <w:color w:val="2C2925"/>
          <w:sz w:val="22"/>
        </w:rPr>
        <w:t>Find the answer that scores zero, and decide which rescue question you would have used.</w:t>
      </w:r>
    </w:p>
    <w:p>
      <w:pPr>
        <w:spacing w:after="120"/>
      </w:pPr>
      <w:r>
        <w:rPr>
          <w:rFonts w:ascii="Calibri" w:hAnsi="Calibri"/>
          <w:i w:val="0"/>
          <w:color w:val="2C2925"/>
          <w:sz w:val="22"/>
        </w:rPr>
        <w:t>The answer key is at the back. Do not read it first. It is not the same as running a real intake, and it will get you to the point where you can.</w:t>
      </w:r>
    </w:p>
    <w:p>
      <w:pPr>
        <w:spacing w:after="160"/>
        <w:ind w:left="648"/>
      </w:pPr>
      <w:r>
        <w:rPr>
          <w:rFonts w:ascii="Calibri" w:hAnsi="Calibri"/>
          <w:i/>
          <w:color w:val="8A7A6A"/>
          <w:sz w:val="19"/>
        </w:rPr>
        <w:t>Marcus Oyelaran and Thorne Recruitment do not exist. Both are constructed for this exercise and the name is invented, so if you find a real person who happens to share it, they have nothing to do with any of this.</w:t>
      </w:r>
    </w:p>
    <w:p>
      <w:pPr>
        <w:spacing w:before="200" w:after="80"/>
      </w:pPr>
      <w:r>
        <w:rPr>
          <w:rFonts w:ascii="Georgia" w:hAnsi="Georgia"/>
          <w:b/>
          <w:color w:val="FA8A11"/>
          <w:sz w:val="28"/>
        </w:rPr>
        <w:t>The subject</w:t>
      </w:r>
    </w:p>
    <w:tbl>
      <w:tblPr>
        <w:tblStyle w:val="TableGrid"/>
        <w:tblW w:type="auto" w:w="0"/>
        <w:tblLayout w:type="fixed"/>
        <w:tblLook w:firstColumn="1" w:firstRow="1" w:lastColumn="0" w:lastRow="0" w:noHBand="0" w:noVBand="1" w:val="04A0"/>
      </w:tblPr>
      <w:tblGrid>
        <w:gridCol w:w="4819"/>
        <w:gridCol w:w="4819"/>
      </w:tblGrid>
      <w:tr>
        <w:tc>
          <w:tcPr>
            <w:tcW w:type="dxa" w:w="2592"/>
          </w:tcPr>
          <w:p>
            <w:r>
              <w:rPr>
                <w:rFonts w:ascii="Calibri" w:hAnsi="Calibri"/>
                <w:b/>
                <w:color w:val="FA8A11"/>
                <w:sz w:val="19"/>
              </w:rPr>
            </w:r>
          </w:p>
        </w:tc>
        <w:tc>
          <w:tcPr>
            <w:tcW w:type="dxa" w:w="7056"/>
          </w:tcPr>
          <w:p>
            <w:r>
              <w:rPr>
                <w:rFonts w:ascii="Calibri" w:hAnsi="Calibri"/>
                <w:b/>
                <w:color w:val="FA8A11"/>
                <w:sz w:val="19"/>
              </w:rPr>
            </w:r>
          </w:p>
        </w:tc>
      </w:tr>
      <w:tr>
        <w:tc>
          <w:tcPr>
            <w:tcW w:type="dxa" w:w="2592"/>
          </w:tcPr>
          <w:p>
            <w:r>
              <w:rPr>
                <w:rFonts w:ascii="Calibri" w:hAnsi="Calibri"/>
                <w:color w:val="2C2925"/>
                <w:sz w:val="19"/>
              </w:rPr>
              <w:t>Client</w:t>
            </w:r>
          </w:p>
        </w:tc>
        <w:tc>
          <w:tcPr>
            <w:tcW w:type="dxa" w:w="7056"/>
          </w:tcPr>
          <w:p>
            <w:r>
              <w:rPr>
                <w:rFonts w:ascii="Calibri" w:hAnsi="Calibri"/>
                <w:color w:val="2C2925"/>
                <w:sz w:val="19"/>
              </w:rPr>
              <w:t>Marcus Oyelaran (constructed)</w:t>
            </w:r>
          </w:p>
        </w:tc>
      </w:tr>
      <w:tr>
        <w:tc>
          <w:tcPr>
            <w:tcW w:type="dxa" w:w="2592"/>
          </w:tcPr>
          <w:p>
            <w:r>
              <w:rPr>
                <w:rFonts w:ascii="Calibri" w:hAnsi="Calibri"/>
                <w:color w:val="2C2925"/>
                <w:sz w:val="19"/>
              </w:rPr>
              <w:t>Category</w:t>
            </w:r>
          </w:p>
        </w:tc>
        <w:tc>
          <w:tcPr>
            <w:tcW w:type="dxa" w:w="7056"/>
          </w:tcPr>
          <w:p>
            <w:r>
              <w:rPr>
                <w:rFonts w:ascii="Calibri" w:hAnsi="Calibri"/>
                <w:color w:val="2C2925"/>
                <w:sz w:val="19"/>
              </w:rPr>
              <w:t>Specialist recruitment, engineers into manufacturing</w:t>
            </w:r>
          </w:p>
        </w:tc>
      </w:tr>
      <w:tr>
        <w:tc>
          <w:tcPr>
            <w:tcW w:type="dxa" w:w="2592"/>
          </w:tcPr>
          <w:p>
            <w:r>
              <w:rPr>
                <w:rFonts w:ascii="Calibri" w:hAnsi="Calibri"/>
                <w:color w:val="2C2925"/>
                <w:sz w:val="19"/>
              </w:rPr>
              <w:t>Background</w:t>
            </w:r>
          </w:p>
        </w:tc>
        <w:tc>
          <w:tcPr>
            <w:tcW w:type="dxa" w:w="7056"/>
          </w:tcPr>
          <w:p>
            <w:r>
              <w:rPr>
                <w:rFonts w:ascii="Calibri" w:hAnsi="Calibri"/>
                <w:color w:val="2C2925"/>
                <w:sz w:val="19"/>
              </w:rPr>
              <w:t>Nine years at two large agencies, five running his own firm of six people</w:t>
            </w:r>
          </w:p>
        </w:tc>
      </w:tr>
      <w:tr>
        <w:tc>
          <w:tcPr>
            <w:tcW w:type="dxa" w:w="2592"/>
          </w:tcPr>
          <w:p>
            <w:r>
              <w:rPr>
                <w:rFonts w:ascii="Calibri" w:hAnsi="Calibri"/>
                <w:color w:val="2C2925"/>
                <w:sz w:val="19"/>
              </w:rPr>
              <w:t>The problem</w:t>
            </w:r>
          </w:p>
        </w:tc>
        <w:tc>
          <w:tcPr>
            <w:tcW w:type="dxa" w:w="7056"/>
          </w:tcPr>
          <w:p>
            <w:r>
              <w:rPr>
                <w:rFonts w:ascii="Calibri" w:hAnsi="Calibri"/>
                <w:color w:val="2C2925"/>
                <w:sz w:val="19"/>
              </w:rPr>
              <w:t>He posted for three weeks in 2025 and stopped</w:t>
            </w:r>
          </w:p>
        </w:tc>
      </w:tr>
      <w:tr>
        <w:tc>
          <w:tcPr>
            <w:tcW w:type="dxa" w:w="2592"/>
          </w:tcPr>
          <w:p>
            <w:r>
              <w:rPr>
                <w:rFonts w:ascii="Calibri" w:hAnsi="Calibri"/>
                <w:color w:val="2C2925"/>
                <w:sz w:val="19"/>
              </w:rPr>
              <w:t>Route</w:t>
            </w:r>
          </w:p>
        </w:tc>
        <w:tc>
          <w:tcPr>
            <w:tcW w:type="dxa" w:w="7056"/>
          </w:tcPr>
          <w:p>
            <w:r>
              <w:rPr>
                <w:rFonts w:ascii="Calibri" w:hAnsi="Calibri"/>
                <w:color w:val="2C2925"/>
                <w:sz w:val="19"/>
              </w:rPr>
              <w:t>Route one, forty five minutes, recorded with permission</w:t>
            </w:r>
          </w:p>
        </w:tc>
      </w:tr>
    </w:tbl>
    <w:p>
      <w:pPr>
        <w:spacing w:after="120"/>
      </w:pPr>
    </w:p>
    <w:p>
      <w:r>
        <w:br w:type="page"/>
      </w:r>
    </w:p>
    <w:p>
      <w:pPr>
        <w:spacing w:before="200" w:after="80"/>
      </w:pPr>
      <w:r>
        <w:rPr>
          <w:rFonts w:ascii="Georgia" w:hAnsi="Georgia"/>
          <w:b/>
          <w:color w:val="FA8A11"/>
          <w:sz w:val="28"/>
        </w:rPr>
        <w:t>The conversation</w:t>
      </w:r>
    </w:p>
    <w:p>
      <w:pPr>
        <w:spacing w:after="120"/>
        <w:ind w:left="259"/>
      </w:pPr>
      <w:r>
        <w:rPr>
          <w:rFonts w:ascii="Consolas" w:hAnsi="Consolas"/>
          <w:b/>
          <w:color w:val="FA8A11"/>
          <w:sz w:val="20"/>
        </w:rPr>
        <w:t xml:space="preserve">YOU:  </w:t>
      </w:r>
      <w:r>
        <w:rPr>
          <w:rFonts w:ascii="Calibri" w:hAnsi="Calibri"/>
          <w:color w:val="2C2925"/>
          <w:sz w:val="22"/>
        </w:rPr>
        <w:t>What is something people in your category believe that you think is wrong.</w:t>
      </w:r>
    </w:p>
    <w:p>
      <w:pPr>
        <w:spacing w:after="120"/>
        <w:ind w:left="259"/>
      </w:pPr>
      <w:r>
        <w:rPr>
          <w:rFonts w:ascii="Consolas" w:hAnsi="Consolas"/>
          <w:b/>
          <w:color w:val="FA8A11"/>
          <w:sz w:val="20"/>
        </w:rPr>
        <w:t xml:space="preserve">MARCUS:  </w:t>
      </w:r>
      <w:r>
        <w:rPr>
          <w:rFonts w:ascii="Calibri" w:hAnsi="Calibri"/>
          <w:color w:val="2C2925"/>
          <w:sz w:val="22"/>
        </w:rPr>
        <w:t>That speed wins. Everyone in recruitment says speed wins. First CV in, first to the table. And I think for about fifteen years that was true and it has quietly stopped being true, and nobody has updated the script. The clients I lose now, I do not lose them on speed. I lose them because somebody sent four and I sent one.</w:t>
      </w:r>
    </w:p>
    <w:p>
      <w:pPr>
        <w:spacing w:after="120"/>
        <w:ind w:left="259"/>
      </w:pPr>
      <w:r>
        <w:rPr>
          <w:rFonts w:ascii="Consolas" w:hAnsi="Consolas"/>
          <w:b/>
          <w:color w:val="FA8A11"/>
          <w:sz w:val="20"/>
        </w:rPr>
        <w:t xml:space="preserve">YOU:  </w:t>
      </w:r>
      <w:r>
        <w:rPr>
          <w:rFonts w:ascii="Calibri" w:hAnsi="Calibri"/>
          <w:color w:val="2C2925"/>
          <w:sz w:val="22"/>
        </w:rPr>
        <w:t>Can you give me an example.</w:t>
      </w:r>
    </w:p>
    <w:p>
      <w:pPr>
        <w:spacing w:after="120"/>
        <w:ind w:left="259"/>
      </w:pPr>
      <w:r>
        <w:rPr>
          <w:rFonts w:ascii="Consolas" w:hAnsi="Consolas"/>
          <w:b/>
          <w:color w:val="FA8A11"/>
          <w:sz w:val="20"/>
        </w:rPr>
        <w:t xml:space="preserve">MARCUS:  </w:t>
      </w:r>
      <w:r>
        <w:rPr>
          <w:rFonts w:ascii="Calibri" w:hAnsi="Calibri"/>
          <w:color w:val="2C2925"/>
          <w:sz w:val="22"/>
        </w:rPr>
        <w:t>Yeah. There was a, this was a controls engineer role, quite a hard one, up in the north, and I had the person on day two. Day two. And I sat on it for eight days because I wanted to speak to two others so I could say, honestly, this is the best of the three. Client was furious about the wait. Then they hired him and he is still there, that was two and a half years ago, and they have given me eleven roles since.</w:t>
      </w:r>
    </w:p>
    <w:p>
      <w:pPr>
        <w:spacing w:after="120"/>
        <w:ind w:left="259"/>
      </w:pPr>
      <w:r>
        <w:rPr>
          <w:rFonts w:ascii="Consolas" w:hAnsi="Consolas"/>
          <w:b/>
          <w:color w:val="FA8A11"/>
          <w:sz w:val="20"/>
        </w:rPr>
        <w:t xml:space="preserve">YOU:  </w:t>
      </w:r>
      <w:r>
        <w:rPr>
          <w:rFonts w:ascii="Calibri" w:hAnsi="Calibri"/>
          <w:color w:val="2C2925"/>
          <w:sz w:val="22"/>
        </w:rPr>
        <w:t>What do people come to you with, and what is usually wrong underneath it.</w:t>
      </w:r>
    </w:p>
    <w:p>
      <w:pPr>
        <w:spacing w:after="120"/>
        <w:ind w:left="259"/>
      </w:pPr>
      <w:r>
        <w:rPr>
          <w:rFonts w:ascii="Consolas" w:hAnsi="Consolas"/>
          <w:b/>
          <w:color w:val="FA8A11"/>
          <w:sz w:val="20"/>
        </w:rPr>
        <w:t xml:space="preserve">MARCUS:  </w:t>
      </w:r>
      <w:r>
        <w:rPr>
          <w:rFonts w:ascii="Calibri" w:hAnsi="Calibri"/>
          <w:color w:val="2C2925"/>
          <w:sz w:val="22"/>
        </w:rPr>
        <w:t>They come to me saying they cannot find people. It is always that. We cannot find anyone, there is a shortage, nobody wants to work in manufacturing. And nine times out of ten there is no shortage, there is a job advert that reads like a warning label and an interview process with five stages in it.</w:t>
      </w:r>
    </w:p>
    <w:p>
      <w:pPr>
        <w:spacing w:after="120"/>
        <w:ind w:left="259"/>
      </w:pPr>
      <w:r>
        <w:rPr>
          <w:rFonts w:ascii="Consolas" w:hAnsi="Consolas"/>
          <w:b/>
          <w:color w:val="FA8A11"/>
          <w:sz w:val="20"/>
        </w:rPr>
        <w:t xml:space="preserve">YOU:  </w:t>
      </w:r>
      <w:r>
        <w:rPr>
          <w:rFonts w:ascii="Calibri" w:hAnsi="Calibri"/>
          <w:color w:val="2C2925"/>
          <w:sz w:val="22"/>
        </w:rPr>
        <w:t>Can you give me an example.</w:t>
      </w:r>
    </w:p>
    <w:p>
      <w:pPr>
        <w:spacing w:after="120"/>
        <w:ind w:left="259"/>
      </w:pPr>
      <w:r>
        <w:rPr>
          <w:rFonts w:ascii="Consolas" w:hAnsi="Consolas"/>
          <w:b/>
          <w:color w:val="FA8A11"/>
          <w:sz w:val="20"/>
        </w:rPr>
        <w:t xml:space="preserve">MARCUS:  </w:t>
      </w:r>
      <w:r>
        <w:rPr>
          <w:rFonts w:ascii="Calibri" w:hAnsi="Calibri"/>
          <w:color w:val="2C2925"/>
          <w:sz w:val="22"/>
        </w:rPr>
        <w:t>The one I always think of is a firm near Coventry, last March, who had a maintenance engineer vacancy open for seven months. Seven months. And I read their advert and the first line was about the company's values, and the salary was not in it, and it said "must be flexible" which every engineer in the country reads as nights and weekends. We rewrote it in about forty minutes, put the money in the first line, and filled it in nineteen days.</w:t>
      </w:r>
    </w:p>
    <w:p>
      <w:pPr>
        <w:spacing w:after="120"/>
        <w:ind w:left="259"/>
      </w:pPr>
      <w:r>
        <w:rPr>
          <w:rFonts w:ascii="Consolas" w:hAnsi="Consolas"/>
          <w:b/>
          <w:color w:val="FA8A11"/>
          <w:sz w:val="20"/>
        </w:rPr>
        <w:t xml:space="preserve">YOU:  </w:t>
      </w:r>
      <w:r>
        <w:rPr>
          <w:rFonts w:ascii="Calibri" w:hAnsi="Calibri"/>
          <w:color w:val="2C2925"/>
          <w:sz w:val="22"/>
        </w:rPr>
        <w:t>What is the most expensive mistake you see, and roughly what does it cost.</w:t>
      </w:r>
    </w:p>
    <w:p>
      <w:pPr>
        <w:spacing w:after="120"/>
        <w:ind w:left="259"/>
      </w:pPr>
      <w:r>
        <w:rPr>
          <w:rFonts w:ascii="Consolas" w:hAnsi="Consolas"/>
          <w:b/>
          <w:color w:val="FA8A11"/>
          <w:sz w:val="20"/>
        </w:rPr>
        <w:t xml:space="preserve">MARCUS:  </w:t>
      </w:r>
      <w:r>
        <w:rPr>
          <w:rFonts w:ascii="Calibri" w:hAnsi="Calibri"/>
          <w:color w:val="2C2925"/>
          <w:sz w:val="22"/>
        </w:rPr>
        <w:t>Leaving a role open while you wait for perfect. People think a vacancy is free because you are not paying a salary. A maintenance engineer vacancy on a production line is not free, it is downtime, and one of my clients worked out theirs was costing about four thousand a week in lost output. They had it open for seven months. So that is, what, a hundred and twenty thousand, to avoid a fifteen thousand pound fee. And I say that out loud to people now and they look at me like I am selling, but it is arithmetic.</w:t>
      </w:r>
    </w:p>
    <w:p>
      <w:pPr>
        <w:spacing w:after="120"/>
        <w:ind w:left="259"/>
      </w:pPr>
      <w:r>
        <w:rPr>
          <w:rFonts w:ascii="Consolas" w:hAnsi="Consolas"/>
          <w:b/>
          <w:color w:val="FA8A11"/>
          <w:sz w:val="20"/>
        </w:rPr>
        <w:t xml:space="preserve">YOU:  </w:t>
      </w:r>
      <w:r>
        <w:rPr>
          <w:rFonts w:ascii="Calibri" w:hAnsi="Calibri"/>
          <w:color w:val="2C2925"/>
          <w:sz w:val="22"/>
        </w:rPr>
        <w:t>What did you believe five years ago that you have changed your mind about.</w:t>
      </w:r>
    </w:p>
    <w:p>
      <w:pPr>
        <w:spacing w:after="120"/>
        <w:ind w:left="259"/>
      </w:pPr>
      <w:r>
        <w:rPr>
          <w:rFonts w:ascii="Consolas" w:hAnsi="Consolas"/>
          <w:b/>
          <w:color w:val="FA8A11"/>
          <w:sz w:val="20"/>
        </w:rPr>
        <w:t xml:space="preserve">MARCUS:  </w:t>
      </w:r>
      <w:r>
        <w:rPr>
          <w:rFonts w:ascii="Calibri" w:hAnsi="Calibri"/>
          <w:color w:val="2C2925"/>
          <w:sz w:val="22"/>
        </w:rPr>
        <w:t>It is really about building long-term partnerships with clients and candidates and adding value throughout the process.</w:t>
      </w:r>
    </w:p>
    <w:p>
      <w:pPr>
        <w:spacing w:after="120"/>
        <w:ind w:left="259"/>
      </w:pPr>
      <w:r>
        <w:rPr>
          <w:rFonts w:ascii="Consolas" w:hAnsi="Consolas"/>
          <w:b/>
          <w:color w:val="FA8A11"/>
          <w:sz w:val="20"/>
        </w:rPr>
        <w:t xml:space="preserve">YOU:  </w:t>
      </w:r>
      <w:r>
        <w:rPr>
          <w:rFonts w:ascii="Calibri" w:hAnsi="Calibri"/>
          <w:color w:val="2C2925"/>
          <w:sz w:val="22"/>
        </w:rPr>
        <w:t>[the rescue question goes here]</w:t>
      </w:r>
    </w:p>
    <w:p>
      <w:pPr>
        <w:spacing w:after="120"/>
        <w:ind w:left="259"/>
      </w:pPr>
      <w:r>
        <w:rPr>
          <w:rFonts w:ascii="Consolas" w:hAnsi="Consolas"/>
          <w:b/>
          <w:color w:val="FA8A11"/>
          <w:sz w:val="20"/>
        </w:rPr>
        <w:t xml:space="preserve">MARCUS:  </w:t>
      </w:r>
      <w:r>
        <w:rPr>
          <w:rFonts w:ascii="Calibri" w:hAnsi="Calibri"/>
          <w:color w:val="2C2925"/>
          <w:sz w:val="22"/>
        </w:rPr>
        <w:t>Ha. Alright. That being liked by the client was the job. I used to say yes to roles I knew I could not fill, because I did not want to be the one who said no. And I would spend three weeks on it and fail and then lose them anyway. Now I turn down about one in four briefs that come in, and I said no to a forty thousand pound retained piece in January because the salary they had set was eight thousand under the market and they would not move. They came back in April having moved it.</w:t>
      </w:r>
    </w:p>
    <w:p>
      <w:pPr>
        <w:spacing w:after="120"/>
        <w:ind w:left="259"/>
      </w:pPr>
      <w:r>
        <w:rPr>
          <w:rFonts w:ascii="Consolas" w:hAnsi="Consolas"/>
          <w:b/>
          <w:color w:val="FA8A11"/>
          <w:sz w:val="20"/>
        </w:rPr>
        <w:t xml:space="preserve">YOU:  </w:t>
      </w:r>
      <w:r>
        <w:rPr>
          <w:rFonts w:ascii="Calibri" w:hAnsi="Calibri"/>
          <w:color w:val="2C2925"/>
          <w:sz w:val="22"/>
        </w:rPr>
        <w:t>What is a question you are asked so often that you are tired of answering it.</w:t>
      </w:r>
    </w:p>
    <w:p>
      <w:pPr>
        <w:spacing w:after="120"/>
        <w:ind w:left="259"/>
      </w:pPr>
      <w:r>
        <w:rPr>
          <w:rFonts w:ascii="Consolas" w:hAnsi="Consolas"/>
          <w:b/>
          <w:color w:val="FA8A11"/>
          <w:sz w:val="20"/>
        </w:rPr>
        <w:t xml:space="preserve">MARCUS:  </w:t>
      </w:r>
      <w:r>
        <w:rPr>
          <w:rFonts w:ascii="Calibri" w:hAnsi="Calibri"/>
          <w:color w:val="2C2925"/>
          <w:sz w:val="22"/>
        </w:rPr>
        <w:t>Can you not just do it cheaper. Every week. And the honest answer is that I can do it cheaper, I just cannot do it cheaper and well, and what people are actually asking is, is what you do worth what you charge, they are just asking it in the rudest possible way. So now I answer the question they meant. I tell them what my fill rate is and what the average is, and then the price conversation is a different conversation.</w:t>
      </w:r>
    </w:p>
    <w:p>
      <w:r>
        <w:br w:type="page"/>
      </w:r>
    </w:p>
    <w:p>
      <w:pPr>
        <w:spacing w:before="200" w:after="80"/>
      </w:pPr>
      <w:r>
        <w:rPr>
          <w:rFonts w:ascii="Georgia" w:hAnsi="Georgia"/>
          <w:b/>
          <w:color w:val="FA8A11"/>
          <w:sz w:val="28"/>
        </w:rPr>
        <w:t>Score it yourself before you turn the page</w:t>
      </w:r>
    </w:p>
    <w:tbl>
      <w:tblPr>
        <w:tblStyle w:val="TableGrid"/>
        <w:tblW w:type="auto" w:w="0"/>
        <w:tblLayout w:type="fixed"/>
        <w:tblLook w:firstColumn="1" w:firstRow="1" w:lastColumn="0" w:lastRow="0" w:noHBand="0" w:noVBand="1" w:val="04A0"/>
      </w:tblPr>
      <w:tblGrid>
        <w:gridCol w:w="1205"/>
        <w:gridCol w:w="1205"/>
        <w:gridCol w:w="1205"/>
        <w:gridCol w:w="1205"/>
        <w:gridCol w:w="1205"/>
        <w:gridCol w:w="1205"/>
        <w:gridCol w:w="1205"/>
        <w:gridCol w:w="1205"/>
      </w:tblGrid>
      <w:tr>
        <w:tc>
          <w:tcPr>
            <w:tcW w:type="dxa" w:w="576"/>
          </w:tcPr>
          <w:p>
            <w:r>
              <w:rPr>
                <w:rFonts w:ascii="Calibri" w:hAnsi="Calibri"/>
                <w:b/>
                <w:color w:val="FA8A11"/>
                <w:sz w:val="19"/>
              </w:rPr>
              <w:t>#</w:t>
            </w:r>
          </w:p>
        </w:tc>
        <w:tc>
          <w:tcPr>
            <w:tcW w:type="dxa" w:w="2160"/>
          </w:tcPr>
          <w:p>
            <w:r>
              <w:rPr>
                <w:rFonts w:ascii="Calibri" w:hAnsi="Calibri"/>
                <w:b/>
                <w:color w:val="FA8A11"/>
                <w:sz w:val="19"/>
              </w:rPr>
              <w:t>Answer</w:t>
            </w:r>
          </w:p>
        </w:tc>
        <w:tc>
          <w:tcPr>
            <w:tcW w:type="dxa" w:w="648"/>
          </w:tcPr>
          <w:p>
            <w:r>
              <w:rPr>
                <w:rFonts w:ascii="Calibri" w:hAnsi="Calibri"/>
                <w:b/>
                <w:color w:val="FA8A11"/>
                <w:sz w:val="19"/>
              </w:rPr>
              <w:t>M1</w:t>
            </w:r>
          </w:p>
        </w:tc>
        <w:tc>
          <w:tcPr>
            <w:tcW w:type="dxa" w:w="648"/>
          </w:tcPr>
          <w:p>
            <w:r>
              <w:rPr>
                <w:rFonts w:ascii="Calibri" w:hAnsi="Calibri"/>
                <w:b/>
                <w:color w:val="FA8A11"/>
                <w:sz w:val="19"/>
              </w:rPr>
              <w:t>M2</w:t>
            </w:r>
          </w:p>
        </w:tc>
        <w:tc>
          <w:tcPr>
            <w:tcW w:type="dxa" w:w="648"/>
          </w:tcPr>
          <w:p>
            <w:r>
              <w:rPr>
                <w:rFonts w:ascii="Calibri" w:hAnsi="Calibri"/>
                <w:b/>
                <w:color w:val="FA8A11"/>
                <w:sz w:val="19"/>
              </w:rPr>
              <w:t>M3</w:t>
            </w:r>
          </w:p>
        </w:tc>
        <w:tc>
          <w:tcPr>
            <w:tcW w:type="dxa" w:w="648"/>
          </w:tcPr>
          <w:p>
            <w:r>
              <w:rPr>
                <w:rFonts w:ascii="Calibri" w:hAnsi="Calibri"/>
                <w:b/>
                <w:color w:val="FA8A11"/>
                <w:sz w:val="19"/>
              </w:rPr>
              <w:t>M4</w:t>
            </w:r>
          </w:p>
        </w:tc>
        <w:tc>
          <w:tcPr>
            <w:tcW w:type="dxa" w:w="864"/>
          </w:tcPr>
          <w:p>
            <w:r>
              <w:rPr>
                <w:rFonts w:ascii="Calibri" w:hAnsi="Calibri"/>
                <w:b/>
                <w:color w:val="FA8A11"/>
                <w:sz w:val="19"/>
              </w:rPr>
              <w:t>Total</w:t>
            </w:r>
          </w:p>
        </w:tc>
        <w:tc>
          <w:tcPr>
            <w:tcW w:type="dxa" w:w="3456"/>
          </w:tcPr>
          <w:p>
            <w:r>
              <w:rPr>
                <w:rFonts w:ascii="Calibri" w:hAnsi="Calibri"/>
                <w:b/>
                <w:color w:val="FA8A11"/>
                <w:sz w:val="19"/>
              </w:rPr>
              <w:t>The sentence you would lift</w:t>
            </w:r>
          </w:p>
        </w:tc>
      </w:tr>
      <w:tr>
        <w:tc>
          <w:tcPr>
            <w:tcW w:type="dxa" w:w="576"/>
          </w:tcPr>
          <w:p>
            <w:r>
              <w:rPr>
                <w:rFonts w:ascii="Calibri" w:hAnsi="Calibri"/>
                <w:color w:val="2C2925"/>
                <w:sz w:val="19"/>
              </w:rPr>
              <w:t>1</w:t>
            </w:r>
          </w:p>
        </w:tc>
        <w:tc>
          <w:tcPr>
            <w:tcW w:type="dxa" w:w="2160"/>
          </w:tcPr>
          <w:p>
            <w:r>
              <w:rPr>
                <w:rFonts w:ascii="Calibri" w:hAnsi="Calibri"/>
                <w:color w:val="2C2925"/>
                <w:sz w:val="19"/>
              </w:rPr>
            </w:r>
          </w:p>
        </w:tc>
        <w:tc>
          <w:tcPr>
            <w:tcW w:type="dxa" w:w="648"/>
          </w:tcPr>
          <w:p>
            <w:r>
              <w:rPr>
                <w:rFonts w:ascii="Calibri" w:hAnsi="Calibri"/>
                <w:color w:val="2C2925"/>
                <w:sz w:val="19"/>
              </w:rPr>
            </w:r>
          </w:p>
        </w:tc>
        <w:tc>
          <w:tcPr>
            <w:tcW w:type="dxa" w:w="648"/>
          </w:tcPr>
          <w:p>
            <w:r>
              <w:rPr>
                <w:rFonts w:ascii="Calibri" w:hAnsi="Calibri"/>
                <w:color w:val="2C2925"/>
                <w:sz w:val="19"/>
              </w:rPr>
            </w:r>
          </w:p>
        </w:tc>
        <w:tc>
          <w:tcPr>
            <w:tcW w:type="dxa" w:w="648"/>
          </w:tcPr>
          <w:p>
            <w:r>
              <w:rPr>
                <w:rFonts w:ascii="Calibri" w:hAnsi="Calibri"/>
                <w:color w:val="2C2925"/>
                <w:sz w:val="19"/>
              </w:rPr>
            </w:r>
          </w:p>
        </w:tc>
        <w:tc>
          <w:tcPr>
            <w:tcW w:type="dxa" w:w="648"/>
          </w:tcPr>
          <w:p>
            <w:r>
              <w:rPr>
                <w:rFonts w:ascii="Calibri" w:hAnsi="Calibri"/>
                <w:color w:val="2C2925"/>
                <w:sz w:val="19"/>
              </w:rPr>
            </w:r>
          </w:p>
        </w:tc>
        <w:tc>
          <w:tcPr>
            <w:tcW w:type="dxa" w:w="864"/>
          </w:tcPr>
          <w:p>
            <w:r>
              <w:rPr>
                <w:rFonts w:ascii="Calibri" w:hAnsi="Calibri"/>
                <w:color w:val="2C2925"/>
                <w:sz w:val="19"/>
              </w:rPr>
            </w:r>
          </w:p>
        </w:tc>
        <w:tc>
          <w:tcPr>
            <w:tcW w:type="dxa" w:w="3456"/>
          </w:tcPr>
          <w:p>
            <w:r>
              <w:rPr>
                <w:rFonts w:ascii="Calibri" w:hAnsi="Calibri"/>
                <w:color w:val="2C2925"/>
                <w:sz w:val="19"/>
              </w:rPr>
            </w:r>
          </w:p>
        </w:tc>
      </w:tr>
      <w:tr>
        <w:tc>
          <w:tcPr>
            <w:tcW w:type="dxa" w:w="576"/>
          </w:tcPr>
          <w:p>
            <w:r>
              <w:rPr>
                <w:rFonts w:ascii="Calibri" w:hAnsi="Calibri"/>
                <w:color w:val="2C2925"/>
                <w:sz w:val="19"/>
              </w:rPr>
              <w:t>2</w:t>
            </w:r>
          </w:p>
        </w:tc>
        <w:tc>
          <w:tcPr>
            <w:tcW w:type="dxa" w:w="2160"/>
          </w:tcPr>
          <w:p>
            <w:r>
              <w:rPr>
                <w:rFonts w:ascii="Calibri" w:hAnsi="Calibri"/>
                <w:color w:val="2C2925"/>
                <w:sz w:val="19"/>
              </w:rPr>
            </w:r>
          </w:p>
        </w:tc>
        <w:tc>
          <w:tcPr>
            <w:tcW w:type="dxa" w:w="648"/>
          </w:tcPr>
          <w:p>
            <w:r>
              <w:rPr>
                <w:rFonts w:ascii="Calibri" w:hAnsi="Calibri"/>
                <w:color w:val="2C2925"/>
                <w:sz w:val="19"/>
              </w:rPr>
            </w:r>
          </w:p>
        </w:tc>
        <w:tc>
          <w:tcPr>
            <w:tcW w:type="dxa" w:w="648"/>
          </w:tcPr>
          <w:p>
            <w:r>
              <w:rPr>
                <w:rFonts w:ascii="Calibri" w:hAnsi="Calibri"/>
                <w:color w:val="2C2925"/>
                <w:sz w:val="19"/>
              </w:rPr>
            </w:r>
          </w:p>
        </w:tc>
        <w:tc>
          <w:tcPr>
            <w:tcW w:type="dxa" w:w="648"/>
          </w:tcPr>
          <w:p>
            <w:r>
              <w:rPr>
                <w:rFonts w:ascii="Calibri" w:hAnsi="Calibri"/>
                <w:color w:val="2C2925"/>
                <w:sz w:val="19"/>
              </w:rPr>
            </w:r>
          </w:p>
        </w:tc>
        <w:tc>
          <w:tcPr>
            <w:tcW w:type="dxa" w:w="648"/>
          </w:tcPr>
          <w:p>
            <w:r>
              <w:rPr>
                <w:rFonts w:ascii="Calibri" w:hAnsi="Calibri"/>
                <w:color w:val="2C2925"/>
                <w:sz w:val="19"/>
              </w:rPr>
            </w:r>
          </w:p>
        </w:tc>
        <w:tc>
          <w:tcPr>
            <w:tcW w:type="dxa" w:w="864"/>
          </w:tcPr>
          <w:p>
            <w:r>
              <w:rPr>
                <w:rFonts w:ascii="Calibri" w:hAnsi="Calibri"/>
                <w:color w:val="2C2925"/>
                <w:sz w:val="19"/>
              </w:rPr>
            </w:r>
          </w:p>
        </w:tc>
        <w:tc>
          <w:tcPr>
            <w:tcW w:type="dxa" w:w="3456"/>
          </w:tcPr>
          <w:p>
            <w:r>
              <w:rPr>
                <w:rFonts w:ascii="Calibri" w:hAnsi="Calibri"/>
                <w:color w:val="2C2925"/>
                <w:sz w:val="19"/>
              </w:rPr>
            </w:r>
          </w:p>
        </w:tc>
      </w:tr>
      <w:tr>
        <w:tc>
          <w:tcPr>
            <w:tcW w:type="dxa" w:w="576"/>
          </w:tcPr>
          <w:p>
            <w:r>
              <w:rPr>
                <w:rFonts w:ascii="Calibri" w:hAnsi="Calibri"/>
                <w:color w:val="2C2925"/>
                <w:sz w:val="19"/>
              </w:rPr>
              <w:t>3</w:t>
            </w:r>
          </w:p>
        </w:tc>
        <w:tc>
          <w:tcPr>
            <w:tcW w:type="dxa" w:w="2160"/>
          </w:tcPr>
          <w:p>
            <w:r>
              <w:rPr>
                <w:rFonts w:ascii="Calibri" w:hAnsi="Calibri"/>
                <w:color w:val="2C2925"/>
                <w:sz w:val="19"/>
              </w:rPr>
            </w:r>
          </w:p>
        </w:tc>
        <w:tc>
          <w:tcPr>
            <w:tcW w:type="dxa" w:w="648"/>
          </w:tcPr>
          <w:p>
            <w:r>
              <w:rPr>
                <w:rFonts w:ascii="Calibri" w:hAnsi="Calibri"/>
                <w:color w:val="2C2925"/>
                <w:sz w:val="19"/>
              </w:rPr>
            </w:r>
          </w:p>
        </w:tc>
        <w:tc>
          <w:tcPr>
            <w:tcW w:type="dxa" w:w="648"/>
          </w:tcPr>
          <w:p>
            <w:r>
              <w:rPr>
                <w:rFonts w:ascii="Calibri" w:hAnsi="Calibri"/>
                <w:color w:val="2C2925"/>
                <w:sz w:val="19"/>
              </w:rPr>
            </w:r>
          </w:p>
        </w:tc>
        <w:tc>
          <w:tcPr>
            <w:tcW w:type="dxa" w:w="648"/>
          </w:tcPr>
          <w:p>
            <w:r>
              <w:rPr>
                <w:rFonts w:ascii="Calibri" w:hAnsi="Calibri"/>
                <w:color w:val="2C2925"/>
                <w:sz w:val="19"/>
              </w:rPr>
            </w:r>
          </w:p>
        </w:tc>
        <w:tc>
          <w:tcPr>
            <w:tcW w:type="dxa" w:w="648"/>
          </w:tcPr>
          <w:p>
            <w:r>
              <w:rPr>
                <w:rFonts w:ascii="Calibri" w:hAnsi="Calibri"/>
                <w:color w:val="2C2925"/>
                <w:sz w:val="19"/>
              </w:rPr>
            </w:r>
          </w:p>
        </w:tc>
        <w:tc>
          <w:tcPr>
            <w:tcW w:type="dxa" w:w="864"/>
          </w:tcPr>
          <w:p>
            <w:r>
              <w:rPr>
                <w:rFonts w:ascii="Calibri" w:hAnsi="Calibri"/>
                <w:color w:val="2C2925"/>
                <w:sz w:val="19"/>
              </w:rPr>
            </w:r>
          </w:p>
        </w:tc>
        <w:tc>
          <w:tcPr>
            <w:tcW w:type="dxa" w:w="3456"/>
          </w:tcPr>
          <w:p>
            <w:r>
              <w:rPr>
                <w:rFonts w:ascii="Calibri" w:hAnsi="Calibri"/>
                <w:color w:val="2C2925"/>
                <w:sz w:val="19"/>
              </w:rPr>
            </w:r>
          </w:p>
        </w:tc>
      </w:tr>
      <w:tr>
        <w:tc>
          <w:tcPr>
            <w:tcW w:type="dxa" w:w="576"/>
          </w:tcPr>
          <w:p>
            <w:r>
              <w:rPr>
                <w:rFonts w:ascii="Calibri" w:hAnsi="Calibri"/>
                <w:color w:val="2C2925"/>
                <w:sz w:val="19"/>
              </w:rPr>
              <w:t>4</w:t>
            </w:r>
          </w:p>
        </w:tc>
        <w:tc>
          <w:tcPr>
            <w:tcW w:type="dxa" w:w="2160"/>
          </w:tcPr>
          <w:p>
            <w:r>
              <w:rPr>
                <w:rFonts w:ascii="Calibri" w:hAnsi="Calibri"/>
                <w:color w:val="2C2925"/>
                <w:sz w:val="19"/>
              </w:rPr>
            </w:r>
          </w:p>
        </w:tc>
        <w:tc>
          <w:tcPr>
            <w:tcW w:type="dxa" w:w="648"/>
          </w:tcPr>
          <w:p>
            <w:r>
              <w:rPr>
                <w:rFonts w:ascii="Calibri" w:hAnsi="Calibri"/>
                <w:color w:val="2C2925"/>
                <w:sz w:val="19"/>
              </w:rPr>
            </w:r>
          </w:p>
        </w:tc>
        <w:tc>
          <w:tcPr>
            <w:tcW w:type="dxa" w:w="648"/>
          </w:tcPr>
          <w:p>
            <w:r>
              <w:rPr>
                <w:rFonts w:ascii="Calibri" w:hAnsi="Calibri"/>
                <w:color w:val="2C2925"/>
                <w:sz w:val="19"/>
              </w:rPr>
            </w:r>
          </w:p>
        </w:tc>
        <w:tc>
          <w:tcPr>
            <w:tcW w:type="dxa" w:w="648"/>
          </w:tcPr>
          <w:p>
            <w:r>
              <w:rPr>
                <w:rFonts w:ascii="Calibri" w:hAnsi="Calibri"/>
                <w:color w:val="2C2925"/>
                <w:sz w:val="19"/>
              </w:rPr>
            </w:r>
          </w:p>
        </w:tc>
        <w:tc>
          <w:tcPr>
            <w:tcW w:type="dxa" w:w="648"/>
          </w:tcPr>
          <w:p>
            <w:r>
              <w:rPr>
                <w:rFonts w:ascii="Calibri" w:hAnsi="Calibri"/>
                <w:color w:val="2C2925"/>
                <w:sz w:val="19"/>
              </w:rPr>
            </w:r>
          </w:p>
        </w:tc>
        <w:tc>
          <w:tcPr>
            <w:tcW w:type="dxa" w:w="864"/>
          </w:tcPr>
          <w:p>
            <w:r>
              <w:rPr>
                <w:rFonts w:ascii="Calibri" w:hAnsi="Calibri"/>
                <w:color w:val="2C2925"/>
                <w:sz w:val="19"/>
              </w:rPr>
            </w:r>
          </w:p>
        </w:tc>
        <w:tc>
          <w:tcPr>
            <w:tcW w:type="dxa" w:w="3456"/>
          </w:tcPr>
          <w:p>
            <w:r>
              <w:rPr>
                <w:rFonts w:ascii="Calibri" w:hAnsi="Calibri"/>
                <w:color w:val="2C2925"/>
                <w:sz w:val="19"/>
              </w:rPr>
            </w:r>
          </w:p>
        </w:tc>
      </w:tr>
      <w:tr>
        <w:tc>
          <w:tcPr>
            <w:tcW w:type="dxa" w:w="576"/>
          </w:tcPr>
          <w:p>
            <w:r>
              <w:rPr>
                <w:rFonts w:ascii="Calibri" w:hAnsi="Calibri"/>
                <w:color w:val="2C2925"/>
                <w:sz w:val="19"/>
              </w:rPr>
              <w:t>5</w:t>
            </w:r>
          </w:p>
        </w:tc>
        <w:tc>
          <w:tcPr>
            <w:tcW w:type="dxa" w:w="2160"/>
          </w:tcPr>
          <w:p>
            <w:r>
              <w:rPr>
                <w:rFonts w:ascii="Calibri" w:hAnsi="Calibri"/>
                <w:color w:val="2C2925"/>
                <w:sz w:val="19"/>
              </w:rPr>
            </w:r>
          </w:p>
        </w:tc>
        <w:tc>
          <w:tcPr>
            <w:tcW w:type="dxa" w:w="648"/>
          </w:tcPr>
          <w:p>
            <w:r>
              <w:rPr>
                <w:rFonts w:ascii="Calibri" w:hAnsi="Calibri"/>
                <w:color w:val="2C2925"/>
                <w:sz w:val="19"/>
              </w:rPr>
            </w:r>
          </w:p>
        </w:tc>
        <w:tc>
          <w:tcPr>
            <w:tcW w:type="dxa" w:w="648"/>
          </w:tcPr>
          <w:p>
            <w:r>
              <w:rPr>
                <w:rFonts w:ascii="Calibri" w:hAnsi="Calibri"/>
                <w:color w:val="2C2925"/>
                <w:sz w:val="19"/>
              </w:rPr>
            </w:r>
          </w:p>
        </w:tc>
        <w:tc>
          <w:tcPr>
            <w:tcW w:type="dxa" w:w="648"/>
          </w:tcPr>
          <w:p>
            <w:r>
              <w:rPr>
                <w:rFonts w:ascii="Calibri" w:hAnsi="Calibri"/>
                <w:color w:val="2C2925"/>
                <w:sz w:val="19"/>
              </w:rPr>
            </w:r>
          </w:p>
        </w:tc>
        <w:tc>
          <w:tcPr>
            <w:tcW w:type="dxa" w:w="648"/>
          </w:tcPr>
          <w:p>
            <w:r>
              <w:rPr>
                <w:rFonts w:ascii="Calibri" w:hAnsi="Calibri"/>
                <w:color w:val="2C2925"/>
                <w:sz w:val="19"/>
              </w:rPr>
            </w:r>
          </w:p>
        </w:tc>
        <w:tc>
          <w:tcPr>
            <w:tcW w:type="dxa" w:w="864"/>
          </w:tcPr>
          <w:p>
            <w:r>
              <w:rPr>
                <w:rFonts w:ascii="Calibri" w:hAnsi="Calibri"/>
                <w:color w:val="2C2925"/>
                <w:sz w:val="19"/>
              </w:rPr>
            </w:r>
          </w:p>
        </w:tc>
        <w:tc>
          <w:tcPr>
            <w:tcW w:type="dxa" w:w="3456"/>
          </w:tcPr>
          <w:p>
            <w:r>
              <w:rPr>
                <w:rFonts w:ascii="Calibri" w:hAnsi="Calibri"/>
                <w:color w:val="2C2925"/>
                <w:sz w:val="19"/>
              </w:rPr>
            </w:r>
          </w:p>
        </w:tc>
      </w:tr>
      <w:tr>
        <w:tc>
          <w:tcPr>
            <w:tcW w:type="dxa" w:w="576"/>
          </w:tcPr>
          <w:p>
            <w:r>
              <w:rPr>
                <w:rFonts w:ascii="Calibri" w:hAnsi="Calibri"/>
                <w:color w:val="2C2925"/>
                <w:sz w:val="19"/>
              </w:rPr>
              <w:t>6</w:t>
            </w:r>
          </w:p>
        </w:tc>
        <w:tc>
          <w:tcPr>
            <w:tcW w:type="dxa" w:w="2160"/>
          </w:tcPr>
          <w:p>
            <w:r>
              <w:rPr>
                <w:rFonts w:ascii="Calibri" w:hAnsi="Calibri"/>
                <w:color w:val="2C2925"/>
                <w:sz w:val="19"/>
              </w:rPr>
            </w:r>
          </w:p>
        </w:tc>
        <w:tc>
          <w:tcPr>
            <w:tcW w:type="dxa" w:w="648"/>
          </w:tcPr>
          <w:p>
            <w:r>
              <w:rPr>
                <w:rFonts w:ascii="Calibri" w:hAnsi="Calibri"/>
                <w:color w:val="2C2925"/>
                <w:sz w:val="19"/>
              </w:rPr>
            </w:r>
          </w:p>
        </w:tc>
        <w:tc>
          <w:tcPr>
            <w:tcW w:type="dxa" w:w="648"/>
          </w:tcPr>
          <w:p>
            <w:r>
              <w:rPr>
                <w:rFonts w:ascii="Calibri" w:hAnsi="Calibri"/>
                <w:color w:val="2C2925"/>
                <w:sz w:val="19"/>
              </w:rPr>
            </w:r>
          </w:p>
        </w:tc>
        <w:tc>
          <w:tcPr>
            <w:tcW w:type="dxa" w:w="648"/>
          </w:tcPr>
          <w:p>
            <w:r>
              <w:rPr>
                <w:rFonts w:ascii="Calibri" w:hAnsi="Calibri"/>
                <w:color w:val="2C2925"/>
                <w:sz w:val="19"/>
              </w:rPr>
            </w:r>
          </w:p>
        </w:tc>
        <w:tc>
          <w:tcPr>
            <w:tcW w:type="dxa" w:w="648"/>
          </w:tcPr>
          <w:p>
            <w:r>
              <w:rPr>
                <w:rFonts w:ascii="Calibri" w:hAnsi="Calibri"/>
                <w:color w:val="2C2925"/>
                <w:sz w:val="19"/>
              </w:rPr>
            </w:r>
          </w:p>
        </w:tc>
        <w:tc>
          <w:tcPr>
            <w:tcW w:type="dxa" w:w="864"/>
          </w:tcPr>
          <w:p>
            <w:r>
              <w:rPr>
                <w:rFonts w:ascii="Calibri" w:hAnsi="Calibri"/>
                <w:color w:val="2C2925"/>
                <w:sz w:val="19"/>
              </w:rPr>
            </w:r>
          </w:p>
        </w:tc>
        <w:tc>
          <w:tcPr>
            <w:tcW w:type="dxa" w:w="3456"/>
          </w:tcPr>
          <w:p>
            <w:r>
              <w:rPr>
                <w:rFonts w:ascii="Calibri" w:hAnsi="Calibri"/>
                <w:color w:val="2C2925"/>
                <w:sz w:val="19"/>
              </w:rPr>
            </w:r>
          </w:p>
        </w:tc>
      </w:tr>
      <w:tr>
        <w:tc>
          <w:tcPr>
            <w:tcW w:type="dxa" w:w="576"/>
          </w:tcPr>
          <w:p>
            <w:r>
              <w:rPr>
                <w:rFonts w:ascii="Calibri" w:hAnsi="Calibri"/>
                <w:color w:val="2C2925"/>
                <w:sz w:val="19"/>
              </w:rPr>
              <w:t>7</w:t>
            </w:r>
          </w:p>
        </w:tc>
        <w:tc>
          <w:tcPr>
            <w:tcW w:type="dxa" w:w="2160"/>
          </w:tcPr>
          <w:p>
            <w:r>
              <w:rPr>
                <w:rFonts w:ascii="Calibri" w:hAnsi="Calibri"/>
                <w:color w:val="2C2925"/>
                <w:sz w:val="19"/>
              </w:rPr>
            </w:r>
          </w:p>
        </w:tc>
        <w:tc>
          <w:tcPr>
            <w:tcW w:type="dxa" w:w="648"/>
          </w:tcPr>
          <w:p>
            <w:r>
              <w:rPr>
                <w:rFonts w:ascii="Calibri" w:hAnsi="Calibri"/>
                <w:color w:val="2C2925"/>
                <w:sz w:val="19"/>
              </w:rPr>
            </w:r>
          </w:p>
        </w:tc>
        <w:tc>
          <w:tcPr>
            <w:tcW w:type="dxa" w:w="648"/>
          </w:tcPr>
          <w:p>
            <w:r>
              <w:rPr>
                <w:rFonts w:ascii="Calibri" w:hAnsi="Calibri"/>
                <w:color w:val="2C2925"/>
                <w:sz w:val="19"/>
              </w:rPr>
            </w:r>
          </w:p>
        </w:tc>
        <w:tc>
          <w:tcPr>
            <w:tcW w:type="dxa" w:w="648"/>
          </w:tcPr>
          <w:p>
            <w:r>
              <w:rPr>
                <w:rFonts w:ascii="Calibri" w:hAnsi="Calibri"/>
                <w:color w:val="2C2925"/>
                <w:sz w:val="19"/>
              </w:rPr>
            </w:r>
          </w:p>
        </w:tc>
        <w:tc>
          <w:tcPr>
            <w:tcW w:type="dxa" w:w="648"/>
          </w:tcPr>
          <w:p>
            <w:r>
              <w:rPr>
                <w:rFonts w:ascii="Calibri" w:hAnsi="Calibri"/>
                <w:color w:val="2C2925"/>
                <w:sz w:val="19"/>
              </w:rPr>
            </w:r>
          </w:p>
        </w:tc>
        <w:tc>
          <w:tcPr>
            <w:tcW w:type="dxa" w:w="864"/>
          </w:tcPr>
          <w:p>
            <w:r>
              <w:rPr>
                <w:rFonts w:ascii="Calibri" w:hAnsi="Calibri"/>
                <w:color w:val="2C2925"/>
                <w:sz w:val="19"/>
              </w:rPr>
            </w:r>
          </w:p>
        </w:tc>
        <w:tc>
          <w:tcPr>
            <w:tcW w:type="dxa" w:w="3456"/>
          </w:tcPr>
          <w:p>
            <w:r>
              <w:rPr>
                <w:rFonts w:ascii="Calibri" w:hAnsi="Calibri"/>
                <w:color w:val="2C2925"/>
                <w:sz w:val="19"/>
              </w:rPr>
            </w:r>
          </w:p>
        </w:tc>
      </w:tr>
      <w:tr>
        <w:tc>
          <w:tcPr>
            <w:tcW w:type="dxa" w:w="576"/>
          </w:tcPr>
          <w:p>
            <w:r>
              <w:rPr>
                <w:rFonts w:ascii="Calibri" w:hAnsi="Calibri"/>
                <w:color w:val="2C2925"/>
                <w:sz w:val="19"/>
              </w:rPr>
              <w:t>8</w:t>
            </w:r>
          </w:p>
        </w:tc>
        <w:tc>
          <w:tcPr>
            <w:tcW w:type="dxa" w:w="2160"/>
          </w:tcPr>
          <w:p>
            <w:r>
              <w:rPr>
                <w:rFonts w:ascii="Calibri" w:hAnsi="Calibri"/>
                <w:color w:val="2C2925"/>
                <w:sz w:val="19"/>
              </w:rPr>
            </w:r>
          </w:p>
        </w:tc>
        <w:tc>
          <w:tcPr>
            <w:tcW w:type="dxa" w:w="648"/>
          </w:tcPr>
          <w:p>
            <w:r>
              <w:rPr>
                <w:rFonts w:ascii="Calibri" w:hAnsi="Calibri"/>
                <w:color w:val="2C2925"/>
                <w:sz w:val="19"/>
              </w:rPr>
            </w:r>
          </w:p>
        </w:tc>
        <w:tc>
          <w:tcPr>
            <w:tcW w:type="dxa" w:w="648"/>
          </w:tcPr>
          <w:p>
            <w:r>
              <w:rPr>
                <w:rFonts w:ascii="Calibri" w:hAnsi="Calibri"/>
                <w:color w:val="2C2925"/>
                <w:sz w:val="19"/>
              </w:rPr>
            </w:r>
          </w:p>
        </w:tc>
        <w:tc>
          <w:tcPr>
            <w:tcW w:type="dxa" w:w="648"/>
          </w:tcPr>
          <w:p>
            <w:r>
              <w:rPr>
                <w:rFonts w:ascii="Calibri" w:hAnsi="Calibri"/>
                <w:color w:val="2C2925"/>
                <w:sz w:val="19"/>
              </w:rPr>
            </w:r>
          </w:p>
        </w:tc>
        <w:tc>
          <w:tcPr>
            <w:tcW w:type="dxa" w:w="648"/>
          </w:tcPr>
          <w:p>
            <w:r>
              <w:rPr>
                <w:rFonts w:ascii="Calibri" w:hAnsi="Calibri"/>
                <w:color w:val="2C2925"/>
                <w:sz w:val="19"/>
              </w:rPr>
            </w:r>
          </w:p>
        </w:tc>
        <w:tc>
          <w:tcPr>
            <w:tcW w:type="dxa" w:w="864"/>
          </w:tcPr>
          <w:p>
            <w:r>
              <w:rPr>
                <w:rFonts w:ascii="Calibri" w:hAnsi="Calibri"/>
                <w:color w:val="2C2925"/>
                <w:sz w:val="19"/>
              </w:rPr>
            </w:r>
          </w:p>
        </w:tc>
        <w:tc>
          <w:tcPr>
            <w:tcW w:type="dxa" w:w="3456"/>
          </w:tcPr>
          <w:p>
            <w:r>
              <w:rPr>
                <w:rFonts w:ascii="Calibri" w:hAnsi="Calibri"/>
                <w:color w:val="2C2925"/>
                <w:sz w:val="19"/>
              </w:rPr>
            </w:r>
          </w:p>
        </w:tc>
      </w:tr>
      <w:tr>
        <w:tc>
          <w:tcPr>
            <w:tcW w:type="dxa" w:w="576"/>
          </w:tcPr>
          <w:p>
            <w:r>
              <w:rPr>
                <w:rFonts w:ascii="Calibri" w:hAnsi="Calibri"/>
                <w:color w:val="2C2925"/>
                <w:sz w:val="19"/>
              </w:rPr>
              <w:t>9</w:t>
            </w:r>
          </w:p>
        </w:tc>
        <w:tc>
          <w:tcPr>
            <w:tcW w:type="dxa" w:w="2160"/>
          </w:tcPr>
          <w:p>
            <w:r>
              <w:rPr>
                <w:rFonts w:ascii="Calibri" w:hAnsi="Calibri"/>
                <w:color w:val="2C2925"/>
                <w:sz w:val="19"/>
              </w:rPr>
            </w:r>
          </w:p>
        </w:tc>
        <w:tc>
          <w:tcPr>
            <w:tcW w:type="dxa" w:w="648"/>
          </w:tcPr>
          <w:p>
            <w:r>
              <w:rPr>
                <w:rFonts w:ascii="Calibri" w:hAnsi="Calibri"/>
                <w:color w:val="2C2925"/>
                <w:sz w:val="19"/>
              </w:rPr>
            </w:r>
          </w:p>
        </w:tc>
        <w:tc>
          <w:tcPr>
            <w:tcW w:type="dxa" w:w="648"/>
          </w:tcPr>
          <w:p>
            <w:r>
              <w:rPr>
                <w:rFonts w:ascii="Calibri" w:hAnsi="Calibri"/>
                <w:color w:val="2C2925"/>
                <w:sz w:val="19"/>
              </w:rPr>
            </w:r>
          </w:p>
        </w:tc>
        <w:tc>
          <w:tcPr>
            <w:tcW w:type="dxa" w:w="648"/>
          </w:tcPr>
          <w:p>
            <w:r>
              <w:rPr>
                <w:rFonts w:ascii="Calibri" w:hAnsi="Calibri"/>
                <w:color w:val="2C2925"/>
                <w:sz w:val="19"/>
              </w:rPr>
            </w:r>
          </w:p>
        </w:tc>
        <w:tc>
          <w:tcPr>
            <w:tcW w:type="dxa" w:w="648"/>
          </w:tcPr>
          <w:p>
            <w:r>
              <w:rPr>
                <w:rFonts w:ascii="Calibri" w:hAnsi="Calibri"/>
                <w:color w:val="2C2925"/>
                <w:sz w:val="19"/>
              </w:rPr>
            </w:r>
          </w:p>
        </w:tc>
        <w:tc>
          <w:tcPr>
            <w:tcW w:type="dxa" w:w="864"/>
          </w:tcPr>
          <w:p>
            <w:r>
              <w:rPr>
                <w:rFonts w:ascii="Calibri" w:hAnsi="Calibri"/>
                <w:color w:val="2C2925"/>
                <w:sz w:val="19"/>
              </w:rPr>
            </w:r>
          </w:p>
        </w:tc>
        <w:tc>
          <w:tcPr>
            <w:tcW w:type="dxa" w:w="3456"/>
          </w:tcPr>
          <w:p>
            <w:r>
              <w:rPr>
                <w:rFonts w:ascii="Calibri" w:hAnsi="Calibri"/>
                <w:color w:val="2C2925"/>
                <w:sz w:val="19"/>
              </w:rPr>
            </w:r>
          </w:p>
        </w:tc>
      </w:tr>
    </w:tbl>
    <w:p>
      <w:pPr>
        <w:spacing w:after="120"/>
      </w:pPr>
    </w:p>
    <w:p>
      <w:pPr>
        <w:spacing w:after="60"/>
      </w:pPr>
      <w:r>
        <w:rPr>
          <w:rFonts w:ascii="Calibri" w:hAnsi="Calibri"/>
          <w:b/>
          <w:color w:val="13100E"/>
          <w:sz w:val="22"/>
        </w:rPr>
        <w:t xml:space="preserve">The answer that scored zero was number  </w:t>
      </w:r>
      <w:r>
        <w:rPr>
          <w:rFonts w:ascii="Calibri" w:hAnsi="Calibri"/>
          <w:color w:val="8A7A6A"/>
          <w:sz w:val="22"/>
        </w:rPr>
        <w:t>______</w:t>
      </w:r>
    </w:p>
    <w:p>
      <w:pPr>
        <w:spacing w:after="60"/>
      </w:pPr>
      <w:r>
        <w:rPr>
          <w:rFonts w:ascii="Calibri" w:hAnsi="Calibri"/>
          <w:b/>
          <w:color w:val="13100E"/>
          <w:sz w:val="22"/>
        </w:rPr>
        <w:t xml:space="preserve">The rescue question I would have used  </w:t>
      </w:r>
      <w:r>
        <w:rPr>
          <w:rFonts w:ascii="Calibri" w:hAnsi="Calibri"/>
          <w:color w:val="8A7A6A"/>
          <w:sz w:val="22"/>
        </w:rPr>
        <w:t>____________________________________________</w:t>
      </w:r>
    </w:p>
    <w:p>
      <w:pPr>
        <w:spacing w:after="60"/>
      </w:pPr>
      <w:r>
        <w:rPr>
          <w:rFonts w:ascii="Calibri" w:hAnsi="Calibri"/>
          <w:b/>
          <w:color w:val="13100E"/>
          <w:sz w:val="22"/>
        </w:rPr>
        <w:t xml:space="preserve">Places I would have asked for an example and the writer did not  </w:t>
      </w:r>
      <w:r>
        <w:rPr>
          <w:rFonts w:ascii="Calibri" w:hAnsi="Calibri"/>
          <w:color w:val="8A7A6A"/>
          <w:sz w:val="22"/>
        </w:rPr>
        <w:t>____________________</w:t>
      </w:r>
    </w:p>
    <w:p>
      <w:r>
        <w:br w:type="page"/>
      </w:r>
    </w:p>
    <w:p>
      <w:pPr>
        <w:spacing w:before="200" w:after="80"/>
      </w:pPr>
      <w:r>
        <w:rPr>
          <w:rFonts w:ascii="Georgia" w:hAnsi="Georgia"/>
          <w:b/>
          <w:color w:val="FA8A11"/>
          <w:sz w:val="28"/>
        </w:rPr>
        <w:t>The answer key</w:t>
      </w:r>
    </w:p>
    <w:p>
      <w:pPr>
        <w:spacing w:after="120"/>
      </w:pPr>
      <w:r>
        <w:rPr>
          <w:rFonts w:ascii="Calibri" w:hAnsi="Calibri"/>
          <w:i w:val="0"/>
          <w:color w:val="2C2925"/>
          <w:sz w:val="22"/>
        </w:rPr>
        <w:t>Your marks will not match these exactly and they do not need to. What matters is whether you found the same sentences.</w:t>
      </w:r>
    </w:p>
    <w:tbl>
      <w:tblPr>
        <w:tblStyle w:val="TableGrid"/>
        <w:tblW w:type="auto" w:w="0"/>
        <w:tblLayout w:type="fixed"/>
        <w:tblLook w:firstColumn="1" w:firstRow="1" w:lastColumn="0" w:lastRow="0" w:noHBand="0" w:noVBand="1" w:val="04A0"/>
      </w:tblPr>
      <w:tblGrid>
        <w:gridCol w:w="2409"/>
        <w:gridCol w:w="2409"/>
        <w:gridCol w:w="2409"/>
        <w:gridCol w:w="2409"/>
      </w:tblGrid>
      <w:tr>
        <w:tc>
          <w:tcPr>
            <w:tcW w:type="dxa" w:w="2160"/>
          </w:tcPr>
          <w:p>
            <w:r>
              <w:rPr>
                <w:rFonts w:ascii="Calibri" w:hAnsi="Calibri"/>
                <w:b/>
                <w:color w:val="FA8A11"/>
                <w:sz w:val="19"/>
              </w:rPr>
              <w:t>Answer</w:t>
            </w:r>
          </w:p>
        </w:tc>
        <w:tc>
          <w:tcPr>
            <w:tcW w:type="dxa" w:w="864"/>
          </w:tcPr>
          <w:p>
            <w:r>
              <w:rPr>
                <w:rFonts w:ascii="Calibri" w:hAnsi="Calibri"/>
                <w:b/>
                <w:color w:val="FA8A11"/>
                <w:sz w:val="19"/>
              </w:rPr>
              <w:t>Score</w:t>
            </w:r>
          </w:p>
        </w:tc>
        <w:tc>
          <w:tcPr>
            <w:tcW w:type="dxa" w:w="3456"/>
          </w:tcPr>
          <w:p>
            <w:r>
              <w:rPr>
                <w:rFonts w:ascii="Calibri" w:hAnsi="Calibri"/>
                <w:b/>
                <w:color w:val="FA8A11"/>
                <w:sz w:val="19"/>
              </w:rPr>
              <w:t>What is in it</w:t>
            </w:r>
          </w:p>
        </w:tc>
        <w:tc>
          <w:tcPr>
            <w:tcW w:type="dxa" w:w="3168"/>
          </w:tcPr>
          <w:p>
            <w:r>
              <w:rPr>
                <w:rFonts w:ascii="Calibri" w:hAnsi="Calibri"/>
                <w:b/>
                <w:color w:val="FA8A11"/>
                <w:sz w:val="19"/>
              </w:rPr>
              <w:t>Lift this</w:t>
            </w:r>
          </w:p>
        </w:tc>
      </w:tr>
      <w:tr>
        <w:tc>
          <w:tcPr>
            <w:tcW w:type="dxa" w:w="2160"/>
          </w:tcPr>
          <w:p>
            <w:r>
              <w:rPr>
                <w:rFonts w:ascii="Calibri" w:hAnsi="Calibri"/>
                <w:color w:val="2C2925"/>
                <w:sz w:val="19"/>
              </w:rPr>
              <w:t>Speed wins</w:t>
            </w:r>
          </w:p>
        </w:tc>
        <w:tc>
          <w:tcPr>
            <w:tcW w:type="dxa" w:w="864"/>
          </w:tcPr>
          <w:p>
            <w:r>
              <w:rPr>
                <w:rFonts w:ascii="Calibri" w:hAnsi="Calibri"/>
                <w:color w:val="2C2925"/>
                <w:sz w:val="19"/>
              </w:rPr>
              <w:t>4/4</w:t>
            </w:r>
          </w:p>
        </w:tc>
        <w:tc>
          <w:tcPr>
            <w:tcW w:type="dxa" w:w="3456"/>
          </w:tcPr>
          <w:p>
            <w:r>
              <w:rPr>
                <w:rFonts w:ascii="Calibri" w:hAnsi="Calibri"/>
                <w:color w:val="2C2925"/>
                <w:sz w:val="19"/>
              </w:rPr>
              <w:t>A position most of the category holds, an occasion, a decision to wait, and eleven roles since.</w:t>
            </w:r>
          </w:p>
        </w:tc>
        <w:tc>
          <w:tcPr>
            <w:tcW w:type="dxa" w:w="3168"/>
          </w:tcPr>
          <w:p>
            <w:r>
              <w:rPr>
                <w:rFonts w:ascii="Calibri" w:hAnsi="Calibri"/>
                <w:color w:val="2C2925"/>
                <w:sz w:val="19"/>
              </w:rPr>
              <w:t>"I lose them because somebody sent four and I sent one."</w:t>
            </w:r>
          </w:p>
        </w:tc>
      </w:tr>
      <w:tr>
        <w:tc>
          <w:tcPr>
            <w:tcW w:type="dxa" w:w="2160"/>
          </w:tcPr>
          <w:p>
            <w:r>
              <w:rPr>
                <w:rFonts w:ascii="Calibri" w:hAnsi="Calibri"/>
                <w:color w:val="2C2925"/>
                <w:sz w:val="19"/>
              </w:rPr>
              <w:t>Cannot find people</w:t>
            </w:r>
          </w:p>
        </w:tc>
        <w:tc>
          <w:tcPr>
            <w:tcW w:type="dxa" w:w="864"/>
          </w:tcPr>
          <w:p>
            <w:r>
              <w:rPr>
                <w:rFonts w:ascii="Calibri" w:hAnsi="Calibri"/>
                <w:color w:val="2C2925"/>
                <w:sz w:val="19"/>
              </w:rPr>
              <w:t>4/4</w:t>
            </w:r>
          </w:p>
        </w:tc>
        <w:tc>
          <w:tcPr>
            <w:tcW w:type="dxa" w:w="3456"/>
          </w:tcPr>
          <w:p>
            <w:r>
              <w:rPr>
                <w:rFonts w:ascii="Calibri" w:hAnsi="Calibri"/>
                <w:color w:val="2C2925"/>
                <w:sz w:val="19"/>
              </w:rPr>
              <w:t>Seven months, nineteen days, forty minutes, a decision to rewrite, and an argument.</w:t>
            </w:r>
          </w:p>
        </w:tc>
        <w:tc>
          <w:tcPr>
            <w:tcW w:type="dxa" w:w="3168"/>
          </w:tcPr>
          <w:p>
            <w:r>
              <w:rPr>
                <w:rFonts w:ascii="Calibri" w:hAnsi="Calibri"/>
                <w:color w:val="2C2925"/>
                <w:sz w:val="19"/>
              </w:rPr>
              <w:t>"An advert that reads like a warning label."</w:t>
            </w:r>
          </w:p>
        </w:tc>
      </w:tr>
      <w:tr>
        <w:tc>
          <w:tcPr>
            <w:tcW w:type="dxa" w:w="2160"/>
          </w:tcPr>
          <w:p>
            <w:r>
              <w:rPr>
                <w:rFonts w:ascii="Calibri" w:hAnsi="Calibri"/>
                <w:color w:val="2C2925"/>
                <w:sz w:val="19"/>
              </w:rPr>
              <w:t>Expensive mistake</w:t>
            </w:r>
          </w:p>
        </w:tc>
        <w:tc>
          <w:tcPr>
            <w:tcW w:type="dxa" w:w="864"/>
          </w:tcPr>
          <w:p>
            <w:r>
              <w:rPr>
                <w:rFonts w:ascii="Calibri" w:hAnsi="Calibri"/>
                <w:color w:val="2C2925"/>
                <w:sz w:val="19"/>
              </w:rPr>
              <w:t>4/4</w:t>
            </w:r>
          </w:p>
        </w:tc>
        <w:tc>
          <w:tcPr>
            <w:tcW w:type="dxa" w:w="3456"/>
          </w:tcPr>
          <w:p>
            <w:r>
              <w:rPr>
                <w:rFonts w:ascii="Calibri" w:hAnsi="Calibri"/>
                <w:color w:val="2C2925"/>
                <w:sz w:val="19"/>
              </w:rPr>
              <w:t>Four thousand a week, seven months, a hundred and twenty thousand against a fifteen thousand fee.</w:t>
            </w:r>
          </w:p>
        </w:tc>
        <w:tc>
          <w:tcPr>
            <w:tcW w:type="dxa" w:w="3168"/>
          </w:tcPr>
          <w:p>
            <w:r>
              <w:rPr>
                <w:rFonts w:ascii="Calibri" w:hAnsi="Calibri"/>
                <w:color w:val="2C2925"/>
                <w:sz w:val="19"/>
              </w:rPr>
              <w:t>"People think a vacancy is free because you are not paying a salary."</w:t>
            </w:r>
          </w:p>
        </w:tc>
      </w:tr>
      <w:tr>
        <w:tc>
          <w:tcPr>
            <w:tcW w:type="dxa" w:w="2160"/>
          </w:tcPr>
          <w:p>
            <w:r>
              <w:rPr>
                <w:rFonts w:ascii="Calibri" w:hAnsi="Calibri"/>
                <w:color w:val="2C2925"/>
                <w:sz w:val="19"/>
              </w:rPr>
              <w:t>Changed your mind (first)</w:t>
            </w:r>
          </w:p>
        </w:tc>
        <w:tc>
          <w:tcPr>
            <w:tcW w:type="dxa" w:w="864"/>
          </w:tcPr>
          <w:p>
            <w:r>
              <w:rPr>
                <w:rFonts w:ascii="Calibri" w:hAnsi="Calibri"/>
                <w:color w:val="2C2925"/>
                <w:sz w:val="19"/>
              </w:rPr>
              <w:t>0/4</w:t>
            </w:r>
          </w:p>
        </w:tc>
        <w:tc>
          <w:tcPr>
            <w:tcW w:type="dxa" w:w="3456"/>
          </w:tcPr>
          <w:p>
            <w:r>
              <w:rPr>
                <w:rFonts w:ascii="Calibri" w:hAnsi="Calibri"/>
                <w:color w:val="2C2925"/>
                <w:sz w:val="19"/>
              </w:rPr>
              <w:t>The networking-event sentence. No number, no occasion, no decision, nothing to argue with.</w:t>
            </w:r>
          </w:p>
        </w:tc>
        <w:tc>
          <w:tcPr>
            <w:tcW w:type="dxa" w:w="3168"/>
          </w:tcPr>
          <w:p>
            <w:r>
              <w:rPr>
                <w:rFonts w:ascii="Calibri" w:hAnsi="Calibri"/>
                <w:color w:val="2C2925"/>
                <w:sz w:val="19"/>
              </w:rPr>
              <w:t>Nothing. Rescue it.</w:t>
            </w:r>
          </w:p>
        </w:tc>
      </w:tr>
      <w:tr>
        <w:tc>
          <w:tcPr>
            <w:tcW w:type="dxa" w:w="2160"/>
          </w:tcPr>
          <w:p>
            <w:r>
              <w:rPr>
                <w:rFonts w:ascii="Calibri" w:hAnsi="Calibri"/>
                <w:color w:val="2C2925"/>
                <w:sz w:val="19"/>
              </w:rPr>
              <w:t>Changed your mind (rescued)</w:t>
            </w:r>
          </w:p>
        </w:tc>
        <w:tc>
          <w:tcPr>
            <w:tcW w:type="dxa" w:w="864"/>
          </w:tcPr>
          <w:p>
            <w:r>
              <w:rPr>
                <w:rFonts w:ascii="Calibri" w:hAnsi="Calibri"/>
                <w:color w:val="2C2925"/>
                <w:sz w:val="19"/>
              </w:rPr>
              <w:t>4/4</w:t>
            </w:r>
          </w:p>
        </w:tc>
        <w:tc>
          <w:tcPr>
            <w:tcW w:type="dxa" w:w="3456"/>
          </w:tcPr>
          <w:p>
            <w:r>
              <w:rPr>
                <w:rFonts w:ascii="Calibri" w:hAnsi="Calibri"/>
                <w:color w:val="2C2925"/>
                <w:sz w:val="19"/>
              </w:rPr>
              <w:t>One in four, forty thousand, eight thousand, January, April, and a decision to say no.</w:t>
            </w:r>
          </w:p>
        </w:tc>
        <w:tc>
          <w:tcPr>
            <w:tcW w:type="dxa" w:w="3168"/>
          </w:tcPr>
          <w:p>
            <w:r>
              <w:rPr>
                <w:rFonts w:ascii="Calibri" w:hAnsi="Calibri"/>
                <w:color w:val="2C2925"/>
                <w:sz w:val="19"/>
              </w:rPr>
              <w:t>"Being liked by the client was the job."</w:t>
            </w:r>
          </w:p>
        </w:tc>
      </w:tr>
      <w:tr>
        <w:tc>
          <w:tcPr>
            <w:tcW w:type="dxa" w:w="2160"/>
          </w:tcPr>
          <w:p>
            <w:r>
              <w:rPr>
                <w:rFonts w:ascii="Calibri" w:hAnsi="Calibri"/>
                <w:color w:val="2C2925"/>
                <w:sz w:val="19"/>
              </w:rPr>
              <w:t>Tired of answering</w:t>
            </w:r>
          </w:p>
        </w:tc>
        <w:tc>
          <w:tcPr>
            <w:tcW w:type="dxa" w:w="864"/>
          </w:tcPr>
          <w:p>
            <w:r>
              <w:rPr>
                <w:rFonts w:ascii="Calibri" w:hAnsi="Calibri"/>
                <w:color w:val="2C2925"/>
                <w:sz w:val="19"/>
              </w:rPr>
              <w:t>3/4</w:t>
            </w:r>
          </w:p>
        </w:tc>
        <w:tc>
          <w:tcPr>
            <w:tcW w:type="dxa" w:w="3456"/>
          </w:tcPr>
          <w:p>
            <w:r>
              <w:rPr>
                <w:rFonts w:ascii="Calibri" w:hAnsi="Calibri"/>
                <w:color w:val="2C2925"/>
                <w:sz w:val="19"/>
              </w:rPr>
              <w:t>A position, a decision about how he now answers, and an argument. No number of his own.</w:t>
            </w:r>
          </w:p>
        </w:tc>
        <w:tc>
          <w:tcPr>
            <w:tcW w:type="dxa" w:w="3168"/>
          </w:tcPr>
          <w:p>
            <w:r>
              <w:rPr>
                <w:rFonts w:ascii="Calibri" w:hAnsi="Calibri"/>
                <w:color w:val="2C2925"/>
                <w:sz w:val="19"/>
              </w:rPr>
              <w:t>"They are asking it in the rudest possible way."</w:t>
            </w:r>
          </w:p>
        </w:tc>
      </w:tr>
    </w:tbl>
    <w:p>
      <w:pPr>
        <w:spacing w:after="120"/>
      </w:pPr>
    </w:p>
    <w:p>
      <w:pPr>
        <w:spacing w:before="160" w:after="40"/>
      </w:pPr>
      <w:r>
        <w:rPr>
          <w:rFonts w:ascii="Calibri" w:hAnsi="Calibri"/>
          <w:b/>
          <w:color w:val="13100E"/>
          <w:sz w:val="23"/>
        </w:rPr>
        <w:t>The rescue that was used</w:t>
      </w:r>
    </w:p>
    <w:p>
      <w:pPr>
        <w:spacing w:after="120"/>
      </w:pPr>
      <w:r>
        <w:rPr>
          <w:rFonts w:ascii="Calibri" w:hAnsi="Calibri"/>
          <w:i w:val="0"/>
          <w:color w:val="2C2925"/>
          <w:sz w:val="22"/>
        </w:rPr>
        <w:t>Any of the three works here. The one in the transcript is "who was the last person you said no to, and why", and you can see it land: the answer that comes back has a month, two figures and a decision in it, and it is about the same belief he had just summarised into nothing.</w:t>
      </w:r>
    </w:p>
    <w:p>
      <w:pPr>
        <w:spacing w:before="160" w:after="40"/>
      </w:pPr>
      <w:r>
        <w:rPr>
          <w:rFonts w:ascii="Calibri" w:hAnsi="Calibri"/>
          <w:b/>
          <w:color w:val="13100E"/>
          <w:sz w:val="23"/>
        </w:rPr>
        <w:t>Where a follow-up was missed</w:t>
      </w:r>
    </w:p>
    <w:p>
      <w:pPr>
        <w:spacing w:after="120"/>
      </w:pPr>
      <w:r>
        <w:rPr>
          <w:rFonts w:ascii="Calibri" w:hAnsi="Calibri"/>
          <w:i w:val="0"/>
          <w:color w:val="2C2925"/>
          <w:sz w:val="22"/>
        </w:rPr>
        <w:t>The last answer. "Can you not just do it cheaper" ends on his fill rate against the average, and neither number is in the transcript. Six words there would have turned a three into a four. That is the one to notice, because it is the one you will miss on your own first intake.</w:t>
      </w:r>
    </w:p>
    <w:p>
      <w:pPr>
        <w:spacing w:before="120" w:after="160"/>
        <w:ind w:left="259"/>
      </w:pPr>
      <w:r>
        <w:rPr>
          <w:rFonts w:ascii="Calibri" w:hAnsi="Calibri"/>
          <w:b/>
          <w:color w:val="FA8A11"/>
          <w:sz w:val="22"/>
        </w:rPr>
        <w:t>Nine answers, eight of them usable, one zero rescued in a single question.</w:t>
      </w:r>
    </w:p>
    <w:p>
      <w:pPr>
        <w:spacing w:after="120"/>
      </w:pPr>
      <w:r>
        <w:rPr>
          <w:rFonts w:ascii="Calibri" w:hAnsi="Calibri"/>
          <w:i w:val="0"/>
          <w:color w:val="2C2925"/>
          <w:sz w:val="22"/>
        </w:rPr>
        <w:t>That is a normal intake. If yours looks like this, you have enough for a month.</w:t>
      </w:r>
    </w:p>
    <w:sectPr w:rsidR="00FC693F" w:rsidRPr="0006063C" w:rsidSect="0003461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2C292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