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lgs-service-agreement</w:t>
      </w:r>
    </w:p>
    <w:p>
      <w:pPr>
        <w:spacing w:after="40"/>
      </w:pPr>
      <w:r>
        <w:rPr>
          <w:rFonts w:ascii="Georgia" w:hAnsi="Georgia"/>
          <w:b/>
          <w:color w:val="13100E"/>
          <w:sz w:val="48"/>
        </w:rPr>
        <w:t>The Service Agreement</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One page, in plain English. It names who is doing the work, what a month contains, what it costs, when it is paid, and how either of you ends it. Two clauses in it matter more than the rest, and almost nobody in this trade has the second one.</w:t>
      </w:r>
    </w:p>
    <w:p>
      <w:pPr>
        <w:spacing w:after="160"/>
        <w:ind w:left="648"/>
      </w:pPr>
      <w:r>
        <w:rPr>
          <w:rFonts w:ascii="Calibri" w:hAnsi="Calibri"/>
          <w:i/>
          <w:color w:val="8A7A6A"/>
          <w:sz w:val="19"/>
        </w:rPr>
        <w:t>This is a template, not legal advice, and it was not written by a lawyer in your jurisdiction. It is deliberately short and in plain English because a busy person will not read six pages of legal language, and a document they did not read is not doing its job. Have it checked before you use it on anything substantial, and change whatever your local law requires.</w:t>
      </w:r>
    </w:p>
    <w:p>
      <w:pPr>
        <w:spacing w:before="200" w:after="80"/>
      </w:pPr>
      <w:r>
        <w:rPr>
          <w:rFonts w:ascii="Georgia" w:hAnsi="Georgia"/>
          <w:b/>
          <w:color w:val="FA8A11"/>
          <w:sz w:val="28"/>
        </w:rPr>
        <w:t>The order, and do not break it</w:t>
      </w:r>
    </w:p>
    <w:p>
      <w:pPr>
        <w:spacing w:before="120" w:after="160"/>
        <w:ind w:left="259"/>
      </w:pPr>
      <w:r>
        <w:rPr>
          <w:rFonts w:ascii="Calibri" w:hAnsi="Calibri"/>
          <w:b/>
          <w:color w:val="FA8A11"/>
          <w:sz w:val="22"/>
        </w:rPr>
        <w:t>They sign, then they pay, then you start.</w:t>
      </w:r>
    </w:p>
    <w:p>
      <w:pPr>
        <w:spacing w:after="120"/>
      </w:pPr>
      <w:r>
        <w:rPr>
          <w:rFonts w:ascii="Calibri" w:hAnsi="Calibri"/>
          <w:i w:val="0"/>
          <w:color w:val="2C2925"/>
          <w:sz w:val="22"/>
        </w:rPr>
        <w:t>People break that order out of eagerness on their first client and end up doing a day of work while sending increasingly polite emails about an invoice.</w:t>
      </w:r>
    </w:p>
    <w:p>
      <w:pPr>
        <w:spacing w:before="200" w:after="80"/>
      </w:pPr>
      <w:r>
        <w:rPr>
          <w:rFonts w:ascii="Georgia" w:hAnsi="Georgia"/>
          <w:b/>
          <w:color w:val="FA8A11"/>
          <w:sz w:val="28"/>
        </w:rPr>
        <w:t>Getting it signed and getting paid</w:t>
      </w:r>
    </w:p>
    <w:p>
      <w:pPr>
        <w:spacing w:after="60"/>
        <w:ind w:left="259"/>
      </w:pPr>
      <w:r>
        <w:rPr>
          <w:rFonts w:ascii="Calibri" w:hAnsi="Calibri"/>
          <w:color w:val="FA8A11"/>
          <w:sz w:val="22"/>
        </w:rPr>
        <w:t xml:space="preserve">-  </w:t>
      </w:r>
      <w:r>
        <w:rPr>
          <w:rFonts w:ascii="Calibri" w:hAnsi="Calibri"/>
          <w:color w:val="2C2925"/>
          <w:sz w:val="22"/>
        </w:rPr>
        <w:t>Two ways to get a signature. They type their name and the date and email it back, which is legally sufficient for a service agreement in most places, or you use an e-signature tool. Use whichever comes back fastest.</w:t>
      </w:r>
    </w:p>
    <w:p>
      <w:pPr>
        <w:spacing w:after="60"/>
        <w:ind w:left="259"/>
      </w:pPr>
      <w:r>
        <w:rPr>
          <w:rFonts w:ascii="Calibri" w:hAnsi="Calibri"/>
          <w:color w:val="FA8A11"/>
          <w:sz w:val="22"/>
        </w:rPr>
        <w:t xml:space="preserve">-  </w:t>
      </w:r>
      <w:r>
        <w:rPr>
          <w:rFonts w:ascii="Calibri" w:hAnsi="Calibri"/>
          <w:color w:val="2C2925"/>
          <w:sz w:val="22"/>
        </w:rPr>
        <w:t>You do not need a website to take money. A payments dashboard makes a payment link in about ninety seconds and it costs nothing until somebody pays. Send it in the same email as the agreement.</w:t>
      </w:r>
    </w:p>
    <w:p>
      <w:pPr>
        <w:spacing w:after="60"/>
        <w:ind w:left="259"/>
      </w:pPr>
      <w:r>
        <w:rPr>
          <w:rFonts w:ascii="Calibri" w:hAnsi="Calibri"/>
          <w:color w:val="FA8A11"/>
          <w:sz w:val="22"/>
        </w:rPr>
        <w:t xml:space="preserve">-  </w:t>
      </w:r>
      <w:r>
        <w:rPr>
          <w:rFonts w:ascii="Calibri" w:hAnsi="Calibri"/>
          <w:color w:val="2C2925"/>
          <w:sz w:val="22"/>
        </w:rPr>
        <w:t>For the retainer, set it up as a subscription rather than invoicing by hand. An invoice you have to remember to send goes out late eventually, and late invoices make good clients start wondering whether they still need you.</w:t>
      </w:r>
    </w:p>
    <w:p>
      <w:r>
        <w:br w:type="page"/>
      </w:r>
    </w:p>
    <w:p>
      <w:pPr>
        <w:spacing w:after="40"/>
      </w:pPr>
      <w:r>
        <w:rPr>
          <w:rFonts w:ascii="Georgia" w:hAnsi="Georgia"/>
          <w:b/>
          <w:color w:val="13100E"/>
          <w:sz w:val="48"/>
        </w:rPr>
        <w:t>Content Writing Agreement</w:t>
      </w:r>
    </w:p>
    <w:p>
      <w:pPr>
        <w:spacing w:after="200"/>
      </w:pPr>
      <w:r>
        <w:rPr>
          <w:rFonts w:ascii="Calibri" w:hAnsi="Calibri"/>
          <w:color w:val="8A7A6A"/>
          <w:sz w:val="22"/>
        </w:rPr>
        <w:t>Plain English, one page - IdeasRepay Blueprint #05</w:t>
      </w:r>
    </w:p>
    <w:p>
      <w:pPr>
        <w:spacing w:before="200" w:after="80"/>
      </w:pPr>
      <w:r>
        <w:rPr>
          <w:rFonts w:ascii="Georgia" w:hAnsi="Georgia"/>
          <w:b/>
          <w:color w:val="FA8A11"/>
          <w:sz w:val="28"/>
        </w:rPr>
        <w:t>1.  Who</w:t>
      </w:r>
    </w:p>
    <w:p>
      <w:pPr>
        <w:spacing w:after="60"/>
      </w:pPr>
      <w:r>
        <w:rPr>
          <w:rFonts w:ascii="Calibri" w:hAnsi="Calibri"/>
          <w:b/>
          <w:color w:val="13100E"/>
          <w:sz w:val="22"/>
        </w:rPr>
        <w:t xml:space="preserve">The writer  </w:t>
      </w:r>
      <w:r>
        <w:rPr>
          <w:rFonts w:ascii="Calibri" w:hAnsi="Calibri"/>
          <w:color w:val="8A7A6A"/>
          <w:sz w:val="22"/>
        </w:rPr>
        <w:t>__________________________</w:t>
      </w:r>
    </w:p>
    <w:p>
      <w:pPr>
        <w:spacing w:after="60"/>
      </w:pPr>
      <w:r>
        <w:rPr>
          <w:rFonts w:ascii="Calibri" w:hAnsi="Calibri"/>
          <w:b/>
          <w:color w:val="13100E"/>
          <w:sz w:val="22"/>
        </w:rPr>
        <w:t xml:space="preserve">The client  </w:t>
      </w:r>
      <w:r>
        <w:rPr>
          <w:rFonts w:ascii="Calibri" w:hAnsi="Calibri"/>
          <w:color w:val="8A7A6A"/>
          <w:sz w:val="22"/>
        </w:rPr>
        <w:t>__________________________</w:t>
      </w:r>
    </w:p>
    <w:p>
      <w:pPr>
        <w:spacing w:after="60"/>
      </w:pPr>
      <w:r>
        <w:rPr>
          <w:rFonts w:ascii="Calibri" w:hAnsi="Calibri"/>
          <w:b/>
          <w:color w:val="13100E"/>
          <w:sz w:val="22"/>
        </w:rPr>
        <w:t xml:space="preserve">Start date  </w:t>
      </w:r>
      <w:r>
        <w:rPr>
          <w:rFonts w:ascii="Calibri" w:hAnsi="Calibri"/>
          <w:color w:val="8A7A6A"/>
          <w:sz w:val="22"/>
        </w:rPr>
        <w:t>__________________________</w:t>
      </w:r>
    </w:p>
    <w:p>
      <w:pPr>
        <w:spacing w:before="200" w:after="80"/>
      </w:pPr>
      <w:r>
        <w:rPr>
          <w:rFonts w:ascii="Georgia" w:hAnsi="Georgia"/>
          <w:b/>
          <w:color w:val="FA8A11"/>
          <w:sz w:val="28"/>
        </w:rPr>
        <w:t>2.  What a month contains</w:t>
      </w:r>
    </w:p>
    <w:p>
      <w:pPr>
        <w:spacing w:after="60"/>
        <w:ind w:left="259"/>
      </w:pPr>
      <w:r>
        <w:rPr>
          <w:rFonts w:ascii="Calibri" w:hAnsi="Calibri"/>
          <w:color w:val="FA8A11"/>
          <w:sz w:val="22"/>
        </w:rPr>
        <w:t xml:space="preserve">-  </w:t>
      </w:r>
      <w:r>
        <w:rPr>
          <w:rFonts w:ascii="Calibri" w:hAnsi="Calibri"/>
          <w:color w:val="2C2925"/>
          <w:sz w:val="22"/>
        </w:rPr>
        <w:t>Eight posts written for LinkedIn, delivered as one document in a single batch.</w:t>
      </w:r>
    </w:p>
    <w:p>
      <w:pPr>
        <w:spacing w:after="60"/>
        <w:ind w:left="259"/>
      </w:pPr>
      <w:r>
        <w:rPr>
          <w:rFonts w:ascii="Calibri" w:hAnsi="Calibri"/>
          <w:color w:val="FA8A11"/>
          <w:sz w:val="22"/>
        </w:rPr>
        <w:t xml:space="preserve">-  </w:t>
      </w:r>
      <w:r>
        <w:rPr>
          <w:rFonts w:ascii="Calibri" w:hAnsi="Calibri"/>
          <w:color w:val="2C2925"/>
          <w:sz w:val="22"/>
        </w:rPr>
        <w:t>One round of revisions on that batch, included.</w:t>
      </w:r>
    </w:p>
    <w:p>
      <w:pPr>
        <w:spacing w:after="60"/>
        <w:ind w:left="259"/>
      </w:pPr>
      <w:r>
        <w:rPr>
          <w:rFonts w:ascii="Calibri" w:hAnsi="Calibri"/>
          <w:color w:val="FA8A11"/>
          <w:sz w:val="22"/>
        </w:rPr>
        <w:t xml:space="preserve">-  </w:t>
      </w:r>
      <w:r>
        <w:rPr>
          <w:rFonts w:ascii="Calibri" w:hAnsi="Calibri"/>
          <w:color w:val="2C2925"/>
          <w:sz w:val="22"/>
        </w:rPr>
        <w:t>One short written input request from the writer each month, and the client's reply. There is no standing meeting.</w:t>
      </w:r>
    </w:p>
    <w:p>
      <w:pPr>
        <w:spacing w:after="60"/>
        <w:ind w:left="259"/>
      </w:pPr>
      <w:r>
        <w:rPr>
          <w:rFonts w:ascii="Calibri" w:hAnsi="Calibri"/>
          <w:color w:val="FA8A11"/>
          <w:sz w:val="22"/>
        </w:rPr>
        <w:t xml:space="preserve">-  </w:t>
      </w:r>
      <w:r>
        <w:rPr>
          <w:rFonts w:ascii="Calibri" w:hAnsi="Calibri"/>
          <w:color w:val="2C2925"/>
          <w:sz w:val="22"/>
        </w:rPr>
        <w:t>One monthly report, once the client has sent their analytics export.</w:t>
      </w:r>
    </w:p>
    <w:p>
      <w:pPr>
        <w:spacing w:after="60"/>
      </w:pPr>
      <w:r>
        <w:rPr>
          <w:rFonts w:ascii="Calibri" w:hAnsi="Calibri"/>
          <w:b/>
          <w:color w:val="13100E"/>
          <w:sz w:val="22"/>
        </w:rPr>
        <w:t xml:space="preserve">Anything different about this client's month  </w:t>
      </w:r>
      <w:r>
        <w:rPr>
          <w:rFonts w:ascii="Calibri" w:hAnsi="Calibri"/>
          <w:color w:val="8A7A6A"/>
          <w:sz w:val="22"/>
        </w:rPr>
      </w:r>
    </w:p>
    <w:p>
      <w:pPr>
        <w:spacing w:before="200" w:after="80"/>
      </w:pPr>
      <w:r>
        <w:rPr>
          <w:rFonts w:ascii="Georgia" w:hAnsi="Georgia"/>
          <w:b/>
          <w:color w:val="FA8A11"/>
          <w:sz w:val="28"/>
        </w:rPr>
        <w:t>3.  The one-time setup, at the start</w:t>
      </w:r>
    </w:p>
    <w:p>
      <w:pPr>
        <w:spacing w:after="60"/>
        <w:ind w:left="259"/>
      </w:pPr>
      <w:r>
        <w:rPr>
          <w:rFonts w:ascii="Calibri" w:hAnsi="Calibri"/>
          <w:color w:val="FA8A11"/>
          <w:sz w:val="22"/>
        </w:rPr>
        <w:t xml:space="preserve">-  </w:t>
      </w:r>
      <w:r>
        <w:rPr>
          <w:rFonts w:ascii="Calibri" w:hAnsi="Calibri"/>
          <w:color w:val="2C2925"/>
          <w:sz w:val="22"/>
        </w:rPr>
        <w:t>A voice intake, either as one recorded conversation of about forty five minutes or as a written questionnaire the client completes.</w:t>
      </w:r>
    </w:p>
    <w:p>
      <w:pPr>
        <w:spacing w:after="60"/>
        <w:ind w:left="259"/>
      </w:pPr>
      <w:r>
        <w:rPr>
          <w:rFonts w:ascii="Calibri" w:hAnsi="Calibri"/>
          <w:color w:val="FA8A11"/>
          <w:sz w:val="22"/>
        </w:rPr>
        <w:t xml:space="preserve">-  </w:t>
      </w:r>
      <w:r>
        <w:rPr>
          <w:rFonts w:ascii="Calibri" w:hAnsi="Calibri"/>
          <w:color w:val="2C2925"/>
          <w:sz w:val="22"/>
        </w:rPr>
        <w:t>A voice brief, written by the writer and corrected and agreed by the client before any post is written.</w:t>
      </w:r>
    </w:p>
    <w:p>
      <w:pPr>
        <w:spacing w:after="60"/>
        <w:ind w:left="259"/>
      </w:pPr>
      <w:r>
        <w:rPr>
          <w:rFonts w:ascii="Calibri" w:hAnsi="Calibri"/>
          <w:color w:val="FA8A11"/>
          <w:sz w:val="22"/>
        </w:rPr>
        <w:t xml:space="preserve">-  </w:t>
      </w:r>
      <w:r>
        <w:rPr>
          <w:rFonts w:ascii="Calibri" w:hAnsi="Calibri"/>
          <w:color w:val="2C2925"/>
          <w:sz w:val="22"/>
        </w:rPr>
        <w:t>A rewrite of the client's LinkedIn headline, about section and featured section.</w:t>
      </w:r>
    </w:p>
    <w:p>
      <w:pPr>
        <w:spacing w:before="200" w:after="80"/>
      </w:pPr>
      <w:r>
        <w:rPr>
          <w:rFonts w:ascii="Georgia" w:hAnsi="Georgia"/>
          <w:b/>
          <w:color w:val="FA8A11"/>
          <w:sz w:val="28"/>
        </w:rPr>
        <w:t>4.  What it costs and when it is paid</w:t>
      </w:r>
    </w:p>
    <w:p>
      <w:pPr>
        <w:spacing w:after="60"/>
      </w:pPr>
      <w:r>
        <w:rPr>
          <w:rFonts w:ascii="Calibri" w:hAnsi="Calibri"/>
          <w:b/>
          <w:color w:val="13100E"/>
          <w:sz w:val="22"/>
        </w:rPr>
        <w:t xml:space="preserve">First month  </w:t>
      </w:r>
      <w:r>
        <w:rPr>
          <w:rFonts w:ascii="Calibri" w:hAnsi="Calibri"/>
          <w:color w:val="8A7A6A"/>
          <w:sz w:val="22"/>
        </w:rPr>
        <w:t>__________________________</w:t>
      </w:r>
    </w:p>
    <w:p>
      <w:pPr>
        <w:spacing w:after="60"/>
      </w:pPr>
      <w:r>
        <w:rPr>
          <w:rFonts w:ascii="Calibri" w:hAnsi="Calibri"/>
          <w:b/>
          <w:color w:val="13100E"/>
          <w:sz w:val="22"/>
        </w:rPr>
        <w:t xml:space="preserve">Setup, charged once  </w:t>
      </w:r>
      <w:r>
        <w:rPr>
          <w:rFonts w:ascii="Calibri" w:hAnsi="Calibri"/>
          <w:color w:val="8A7A6A"/>
          <w:sz w:val="22"/>
        </w:rPr>
        <w:t>__________________________</w:t>
      </w:r>
    </w:p>
    <w:p>
      <w:pPr>
        <w:spacing w:after="60"/>
      </w:pPr>
      <w:r>
        <w:rPr>
          <w:rFonts w:ascii="Calibri" w:hAnsi="Calibri"/>
          <w:b/>
          <w:color w:val="13100E"/>
          <w:sz w:val="22"/>
        </w:rPr>
        <w:t xml:space="preserve">Monthly retainer from month two  </w:t>
      </w:r>
      <w:r>
        <w:rPr>
          <w:rFonts w:ascii="Calibri" w:hAnsi="Calibri"/>
          <w:color w:val="8A7A6A"/>
          <w:sz w:val="22"/>
        </w:rPr>
        <w:t>__________________________</w:t>
      </w:r>
    </w:p>
    <w:p>
      <w:pPr>
        <w:spacing w:after="60"/>
        <w:ind w:left="259"/>
      </w:pPr>
      <w:r>
        <w:rPr>
          <w:rFonts w:ascii="Calibri" w:hAnsi="Calibri"/>
          <w:color w:val="FA8A11"/>
          <w:sz w:val="22"/>
        </w:rPr>
        <w:t xml:space="preserve">-  </w:t>
      </w:r>
      <w:r>
        <w:rPr>
          <w:rFonts w:ascii="Calibri" w:hAnsi="Calibri"/>
          <w:color w:val="2C2925"/>
          <w:sz w:val="22"/>
        </w:rPr>
        <w:t>The first month and the setup are paid in full before work starts.</w:t>
      </w:r>
    </w:p>
    <w:p>
      <w:pPr>
        <w:spacing w:after="60"/>
        <w:ind w:left="259"/>
      </w:pPr>
      <w:r>
        <w:rPr>
          <w:rFonts w:ascii="Calibri" w:hAnsi="Calibri"/>
          <w:color w:val="FA8A11"/>
          <w:sz w:val="22"/>
        </w:rPr>
        <w:t xml:space="preserve">-  </w:t>
      </w:r>
      <w:r>
        <w:rPr>
          <w:rFonts w:ascii="Calibri" w:hAnsi="Calibri"/>
          <w:color w:val="2C2925"/>
          <w:sz w:val="22"/>
        </w:rPr>
        <w:t>The retainer is paid monthly in advance, on the same date each month.</w:t>
      </w:r>
    </w:p>
    <w:p>
      <w:pPr>
        <w:spacing w:before="200" w:after="80"/>
      </w:pPr>
      <w:r>
        <w:rPr>
          <w:rFonts w:ascii="Georgia" w:hAnsi="Georgia"/>
          <w:b/>
          <w:color w:val="FA8A11"/>
          <w:sz w:val="28"/>
        </w:rPr>
        <w:t>5.  Approval, and what happens if it goes quiet</w:t>
      </w:r>
    </w:p>
    <w:p>
      <w:pPr>
        <w:spacing w:after="60"/>
      </w:pPr>
      <w:r>
        <w:rPr>
          <w:rFonts w:ascii="Calibri" w:hAnsi="Calibri"/>
          <w:b/>
          <w:color w:val="13100E"/>
          <w:sz w:val="22"/>
        </w:rPr>
        <w:t xml:space="preserve">The client has this many days to respond to a batch  </w:t>
      </w:r>
      <w:r>
        <w:rPr>
          <w:rFonts w:ascii="Calibri" w:hAnsi="Calibri"/>
          <w:color w:val="8A7A6A"/>
          <w:sz w:val="22"/>
        </w:rPr>
        <w:t>_______ days (ten is normal)</w:t>
      </w:r>
    </w:p>
    <w:p>
      <w:pPr>
        <w:spacing w:after="60"/>
        <w:ind w:left="259"/>
      </w:pPr>
      <w:r>
        <w:rPr>
          <w:rFonts w:ascii="Calibri" w:hAnsi="Calibri"/>
          <w:color w:val="FA8A11"/>
          <w:sz w:val="22"/>
        </w:rPr>
        <w:t xml:space="preserve">-  </w:t>
      </w:r>
      <w:r>
        <w:rPr>
          <w:rFonts w:ascii="Calibri" w:hAnsi="Calibri"/>
          <w:color w:val="2C2925"/>
          <w:sz w:val="22"/>
        </w:rPr>
        <w:t>Each post is marked approve, approve with edits, or cut.</w:t>
      </w:r>
    </w:p>
    <w:p>
      <w:pPr>
        <w:spacing w:after="60"/>
        <w:ind w:left="259"/>
      </w:pPr>
      <w:r>
        <w:rPr>
          <w:rFonts w:ascii="Calibri" w:hAnsi="Calibri"/>
          <w:color w:val="FA8A11"/>
          <w:sz w:val="22"/>
        </w:rPr>
        <w:t xml:space="preserve">-  </w:t>
      </w:r>
      <w:r>
        <w:rPr>
          <w:rFonts w:ascii="Calibri" w:hAnsi="Calibri"/>
          <w:color w:val="2C2925"/>
          <w:sz w:val="22"/>
        </w:rPr>
        <w:t>Posts not responded to within the window either go out as drafted or roll into the following month, whichever the client chose here: ______________________.</w:t>
      </w:r>
    </w:p>
    <w:p>
      <w:pPr>
        <w:spacing w:after="60"/>
        <w:ind w:left="259"/>
      </w:pPr>
      <w:r>
        <w:rPr>
          <w:rFonts w:ascii="Calibri" w:hAnsi="Calibri"/>
          <w:color w:val="FA8A11"/>
          <w:sz w:val="22"/>
        </w:rPr>
        <w:t xml:space="preserve">-  </w:t>
      </w:r>
      <w:r>
        <w:rPr>
          <w:rFonts w:ascii="Calibri" w:hAnsi="Calibri"/>
          <w:color w:val="2C2925"/>
          <w:sz w:val="22"/>
        </w:rPr>
        <w:t>A second revision round is provided without complaint. Beyond that, the writer goes back to the topic bank rather than continuing to revise.</w:t>
      </w:r>
    </w:p>
    <w:p>
      <w:pPr>
        <w:spacing w:before="200" w:after="80"/>
      </w:pPr>
      <w:r>
        <w:rPr>
          <w:rFonts w:ascii="Georgia" w:hAnsi="Georgia"/>
          <w:b/>
          <w:color w:val="FA8A11"/>
          <w:sz w:val="28"/>
        </w:rPr>
        <w:t>6.  What the writer does not promise</w:t>
      </w:r>
    </w:p>
    <w:p>
      <w:pPr>
        <w:spacing w:before="120" w:after="160"/>
        <w:ind w:left="259"/>
      </w:pPr>
      <w:r>
        <w:rPr>
          <w:rFonts w:ascii="Calibri" w:hAnsi="Calibri"/>
          <w:b/>
          <w:color w:val="FA8A11"/>
          <w:sz w:val="22"/>
        </w:rPr>
        <w:t>The writer does not control LinkedIn.</w:t>
      </w:r>
    </w:p>
    <w:p>
      <w:pPr>
        <w:spacing w:after="120"/>
      </w:pPr>
      <w:r>
        <w:rPr>
          <w:rFonts w:ascii="Calibri" w:hAnsi="Calibri"/>
          <w:i w:val="0"/>
          <w:color w:val="2C2925"/>
          <w:sz w:val="22"/>
        </w:rPr>
        <w:t>The writer does not control the platform, does not control the feed, and does not guarantee reach, engagement, followers or new business. What the writer provides is the agreed work, their judgement, and honest monthly measurement, reported whether the numbers are good or flat.</w:t>
      </w:r>
    </w:p>
    <w:p>
      <w:pPr>
        <w:spacing w:after="160"/>
        <w:ind w:left="648"/>
      </w:pPr>
      <w:r>
        <w:rPr>
          <w:rFonts w:ascii="Calibri" w:hAnsi="Calibri"/>
          <w:i/>
          <w:color w:val="FA8A11"/>
          <w:sz w:val="19"/>
        </w:rPr>
        <w:t>Say this out loud in the conversation as well, not only in the document. "I do not control LinkedIn. What I control is whether the work is good and whether it goes out." A flat month is a conversation when you said that up front.</w:t>
      </w:r>
    </w:p>
    <w:p>
      <w:pPr>
        <w:spacing w:before="200" w:after="80"/>
      </w:pPr>
      <w:r>
        <w:rPr>
          <w:rFonts w:ascii="Georgia" w:hAnsi="Georgia"/>
          <w:b/>
          <w:color w:val="FA8A11"/>
          <w:sz w:val="28"/>
        </w:rPr>
        <w:t>7.  The account stays with the client</w:t>
      </w:r>
    </w:p>
    <w:p>
      <w:pPr>
        <w:spacing w:before="120" w:after="160"/>
        <w:ind w:left="259"/>
      </w:pPr>
      <w:r>
        <w:rPr>
          <w:rFonts w:ascii="Calibri" w:hAnsi="Calibri"/>
          <w:b/>
          <w:color w:val="FA8A11"/>
          <w:sz w:val="22"/>
        </w:rPr>
        <w:t>The writer will never ask for, hold or use the client's LinkedIn login.</w:t>
      </w:r>
    </w:p>
    <w:p>
      <w:pPr>
        <w:spacing w:after="120"/>
      </w:pPr>
      <w:r>
        <w:rPr>
          <w:rFonts w:ascii="Calibri" w:hAnsi="Calibri"/>
          <w:i w:val="0"/>
          <w:color w:val="2C2925"/>
          <w:sz w:val="22"/>
        </w:rPr>
        <w:t>All posting happens from the client's own account, either by the client using LinkedIn's own scheduler, or through a tool the client authorises themselves on their own account through a normal sign-in screen. No password, session or cookie is shared at any point.</w:t>
      </w:r>
    </w:p>
    <w:p>
      <w:pPr>
        <w:spacing w:after="120"/>
      </w:pPr>
      <w:r>
        <w:rPr>
          <w:rFonts w:ascii="Calibri" w:hAnsi="Calibri"/>
          <w:i w:val="0"/>
          <w:color w:val="2C2925"/>
          <w:sz w:val="22"/>
        </w:rPr>
        <w:t>The reason is in the agreement the client already signed with LinkedIn. Its User Agreement requires one account in the member's real name (clause 2.1), forbids sharing or transferring an account (clause 2.2), and in the list of don'ts at clause 8.2 forbids using or attempting to use another person's account, including sharing log-in credentials, creating a Member profile for anyone other than yourself, and using bots or other unauthorised automated methods to create, comment on, like, share or re-share posts.</w:t>
      </w:r>
    </w:p>
    <w:p>
      <w:pPr>
        <w:spacing w:after="120"/>
      </w:pPr>
      <w:r>
        <w:rPr>
          <w:rFonts w:ascii="Calibri" w:hAnsi="Calibri"/>
          <w:i w:val="0"/>
          <w:color w:val="2C2925"/>
          <w:sz w:val="22"/>
        </w:rPr>
        <w:t>The account that would be restricted for a breach is the client's, on the platform their reputation lives on, which is why this clause is in here rather than left unsaid.</w:t>
      </w:r>
    </w:p>
    <w:p>
      <w:pPr>
        <w:spacing w:before="200" w:after="80"/>
      </w:pPr>
      <w:r>
        <w:rPr>
          <w:rFonts w:ascii="Georgia" w:hAnsi="Georgia"/>
          <w:b/>
          <w:color w:val="FA8A11"/>
          <w:sz w:val="28"/>
        </w:rPr>
        <w:t>8.  Whose work it is</w:t>
      </w:r>
    </w:p>
    <w:p>
      <w:pPr>
        <w:spacing w:after="60"/>
        <w:ind w:left="259"/>
      </w:pPr>
      <w:r>
        <w:rPr>
          <w:rFonts w:ascii="Calibri" w:hAnsi="Calibri"/>
          <w:color w:val="FA8A11"/>
          <w:sz w:val="22"/>
        </w:rPr>
        <w:t xml:space="preserve">-  </w:t>
      </w:r>
      <w:r>
        <w:rPr>
          <w:rFonts w:ascii="Calibri" w:hAnsi="Calibri"/>
          <w:color w:val="2C2925"/>
          <w:sz w:val="22"/>
        </w:rPr>
        <w:t>The ideas, facts, numbers and opinions in every post belong to the client, because they came out of the client.</w:t>
      </w:r>
    </w:p>
    <w:p>
      <w:pPr>
        <w:spacing w:after="60"/>
        <w:ind w:left="259"/>
      </w:pPr>
      <w:r>
        <w:rPr>
          <w:rFonts w:ascii="Calibri" w:hAnsi="Calibri"/>
          <w:color w:val="FA8A11"/>
          <w:sz w:val="22"/>
        </w:rPr>
        <w:t xml:space="preserve">-  </w:t>
      </w:r>
      <w:r>
        <w:rPr>
          <w:rFonts w:ascii="Calibri" w:hAnsi="Calibri"/>
          <w:color w:val="2C2925"/>
          <w:sz w:val="22"/>
        </w:rPr>
        <w:t>Once paid for, every post belongs to the client to use however they wish.</w:t>
      </w:r>
    </w:p>
    <w:p>
      <w:pPr>
        <w:spacing w:after="60"/>
        <w:ind w:left="259"/>
      </w:pPr>
      <w:r>
        <w:rPr>
          <w:rFonts w:ascii="Calibri" w:hAnsi="Calibri"/>
          <w:color w:val="FA8A11"/>
          <w:sz w:val="22"/>
        </w:rPr>
        <w:t xml:space="preserve">-  </w:t>
      </w:r>
      <w:r>
        <w:rPr>
          <w:rFonts w:ascii="Calibri" w:hAnsi="Calibri"/>
          <w:color w:val="2C2925"/>
          <w:sz w:val="22"/>
        </w:rPr>
        <w:t>The writer will not invent a client story, a figure or an opinion, and will not publish anything the client has not approved.</w:t>
      </w:r>
    </w:p>
    <w:p>
      <w:pPr>
        <w:spacing w:after="60"/>
        <w:ind w:left="259"/>
      </w:pPr>
      <w:r>
        <w:rPr>
          <w:rFonts w:ascii="Calibri" w:hAnsi="Calibri"/>
          <w:color w:val="FA8A11"/>
          <w:sz w:val="22"/>
        </w:rPr>
        <w:t xml:space="preserve">-  </w:t>
      </w:r>
      <w:r>
        <w:rPr>
          <w:rFonts w:ascii="Calibri" w:hAnsi="Calibri"/>
          <w:color w:val="2C2925"/>
          <w:sz w:val="22"/>
        </w:rPr>
        <w:t>The writer keeps the recording, transcript and voice brief confidential and will not name the client as a client without written permission.</w:t>
      </w:r>
    </w:p>
    <w:p>
      <w:pPr>
        <w:spacing w:after="60"/>
      </w:pPr>
      <w:r>
        <w:rPr>
          <w:rFonts w:ascii="Calibri" w:hAnsi="Calibri"/>
          <w:b/>
          <w:color w:val="13100E"/>
          <w:sz w:val="22"/>
        </w:rPr>
        <w:t xml:space="preserve">May the writer name this client in their own portfolio  </w:t>
      </w:r>
      <w:r>
        <w:rPr>
          <w:rFonts w:ascii="Calibri" w:hAnsi="Calibri"/>
          <w:color w:val="8A7A6A"/>
          <w:sz w:val="22"/>
        </w:rPr>
        <w:t>Yes  /  No</w:t>
      </w:r>
    </w:p>
    <w:p>
      <w:pPr>
        <w:spacing w:before="200" w:after="80"/>
      </w:pPr>
      <w:r>
        <w:rPr>
          <w:rFonts w:ascii="Georgia" w:hAnsi="Georgia"/>
          <w:b/>
          <w:color w:val="FA8A11"/>
          <w:sz w:val="28"/>
        </w:rPr>
        <w:t>9.  Ending it</w:t>
      </w:r>
    </w:p>
    <w:p>
      <w:pPr>
        <w:spacing w:after="120"/>
      </w:pPr>
      <w:r>
        <w:rPr>
          <w:rFonts w:ascii="Calibri" w:hAnsi="Calibri"/>
          <w:i w:val="0"/>
          <w:color w:val="2C2925"/>
          <w:sz w:val="22"/>
        </w:rPr>
        <w:t>Month to month. Either party may end this agreement with thirty days written notice. Work already paid for is completed. Nothing is locked in for a year.</w:t>
      </w:r>
    </w:p>
    <w:p>
      <w:pPr>
        <w:spacing w:before="200" w:after="80"/>
      </w:pPr>
      <w:r>
        <w:rPr>
          <w:rFonts w:ascii="Georgia" w:hAnsi="Georgia"/>
          <w:b/>
          <w:color w:val="FA8A11"/>
          <w:sz w:val="28"/>
        </w:rPr>
        <w:t>10.  Signatures</w:t>
      </w:r>
    </w:p>
    <w:tbl>
      <w:tblPr>
        <w:tblStyle w:val="TableGrid"/>
        <w:tblW w:type="auto" w:w="0"/>
        <w:tblLayout w:type="fixed"/>
        <w:tblLook w:firstColumn="1" w:firstRow="1" w:lastColumn="0" w:lastRow="0" w:noHBand="0" w:noVBand="1" w:val="04A0"/>
      </w:tblPr>
      <w:tblGrid>
        <w:gridCol w:w="3213"/>
        <w:gridCol w:w="3213"/>
        <w:gridCol w:w="3213"/>
      </w:tblGrid>
      <w:tr>
        <w:tc>
          <w:tcPr>
            <w:tcW w:type="dxa" w:w="1584"/>
          </w:tcPr>
          <w:p>
            <w:r>
              <w:rPr>
                <w:rFonts w:ascii="Calibri" w:hAnsi="Calibri"/>
                <w:b/>
                <w:color w:val="FA8A11"/>
                <w:sz w:val="19"/>
              </w:rPr>
            </w:r>
          </w:p>
        </w:tc>
        <w:tc>
          <w:tcPr>
            <w:tcW w:type="dxa" w:w="4032"/>
          </w:tcPr>
          <w:p>
            <w:r>
              <w:rPr>
                <w:rFonts w:ascii="Calibri" w:hAnsi="Calibri"/>
                <w:b/>
                <w:color w:val="FA8A11"/>
                <w:sz w:val="19"/>
              </w:rPr>
              <w:t>The writer</w:t>
            </w:r>
          </w:p>
        </w:tc>
        <w:tc>
          <w:tcPr>
            <w:tcW w:type="dxa" w:w="4032"/>
          </w:tcPr>
          <w:p>
            <w:r>
              <w:rPr>
                <w:rFonts w:ascii="Calibri" w:hAnsi="Calibri"/>
                <w:b/>
                <w:color w:val="FA8A11"/>
                <w:sz w:val="19"/>
              </w:rPr>
              <w:t>The client</w:t>
            </w:r>
          </w:p>
        </w:tc>
      </w:tr>
      <w:tr>
        <w:tc>
          <w:tcPr>
            <w:tcW w:type="dxa" w:w="1584"/>
          </w:tcPr>
          <w:p>
            <w:r>
              <w:rPr>
                <w:rFonts w:ascii="Calibri" w:hAnsi="Calibri"/>
                <w:color w:val="2C2925"/>
                <w:sz w:val="19"/>
              </w:rPr>
              <w:t>Name</w:t>
            </w:r>
          </w:p>
        </w:tc>
        <w:tc>
          <w:tcPr>
            <w:tcW w:type="dxa" w:w="4032"/>
          </w:tcPr>
          <w:p>
            <w:r>
              <w:rPr>
                <w:rFonts w:ascii="Calibri" w:hAnsi="Calibri"/>
                <w:color w:val="2C2925"/>
                <w:sz w:val="19"/>
              </w:rPr>
            </w:r>
          </w:p>
        </w:tc>
        <w:tc>
          <w:tcPr>
            <w:tcW w:type="dxa" w:w="4032"/>
          </w:tcPr>
          <w:p>
            <w:r>
              <w:rPr>
                <w:rFonts w:ascii="Calibri" w:hAnsi="Calibri"/>
                <w:color w:val="2C2925"/>
                <w:sz w:val="19"/>
              </w:rPr>
            </w:r>
          </w:p>
        </w:tc>
      </w:tr>
      <w:tr>
        <w:tc>
          <w:tcPr>
            <w:tcW w:type="dxa" w:w="1584"/>
          </w:tcPr>
          <w:p>
            <w:r>
              <w:rPr>
                <w:rFonts w:ascii="Calibri" w:hAnsi="Calibri"/>
                <w:color w:val="2C2925"/>
                <w:sz w:val="19"/>
              </w:rPr>
              <w:t>Signed</w:t>
            </w:r>
          </w:p>
        </w:tc>
        <w:tc>
          <w:tcPr>
            <w:tcW w:type="dxa" w:w="4032"/>
          </w:tcPr>
          <w:p>
            <w:r>
              <w:rPr>
                <w:rFonts w:ascii="Calibri" w:hAnsi="Calibri"/>
                <w:color w:val="2C2925"/>
                <w:sz w:val="19"/>
              </w:rPr>
            </w:r>
          </w:p>
        </w:tc>
        <w:tc>
          <w:tcPr>
            <w:tcW w:type="dxa" w:w="4032"/>
          </w:tcPr>
          <w:p>
            <w:r>
              <w:rPr>
                <w:rFonts w:ascii="Calibri" w:hAnsi="Calibri"/>
                <w:color w:val="2C2925"/>
                <w:sz w:val="19"/>
              </w:rPr>
            </w:r>
          </w:p>
        </w:tc>
      </w:tr>
      <w:tr>
        <w:tc>
          <w:tcPr>
            <w:tcW w:type="dxa" w:w="1584"/>
          </w:tcPr>
          <w:p>
            <w:r>
              <w:rPr>
                <w:rFonts w:ascii="Calibri" w:hAnsi="Calibri"/>
                <w:color w:val="2C2925"/>
                <w:sz w:val="19"/>
              </w:rPr>
              <w:t>Date</w:t>
            </w:r>
          </w:p>
        </w:tc>
        <w:tc>
          <w:tcPr>
            <w:tcW w:type="dxa" w:w="4032"/>
          </w:tcPr>
          <w:p>
            <w:r>
              <w:rPr>
                <w:rFonts w:ascii="Calibri" w:hAnsi="Calibri"/>
                <w:color w:val="2C2925"/>
                <w:sz w:val="19"/>
              </w:rPr>
            </w:r>
          </w:p>
        </w:tc>
        <w:tc>
          <w:tcPr>
            <w:tcW w:type="dxa" w:w="4032"/>
          </w:tcPr>
          <w:p>
            <w:r>
              <w:rPr>
                <w:rFonts w:ascii="Calibri" w:hAnsi="Calibri"/>
                <w:color w:val="2C2925"/>
                <w:sz w:val="19"/>
              </w:rPr>
            </w:r>
          </w:p>
        </w:tc>
      </w:tr>
    </w:tbl>
    <w:p>
      <w:pPr>
        <w:spacing w:after="120"/>
      </w:pPr>
    </w:p>
    <w:p>
      <w:pPr>
        <w:spacing w:before="240"/>
      </w:pPr>
      <w:r>
        <w:rPr>
          <w:rFonts w:ascii="Calibri" w:hAnsi="Calibri"/>
          <w:i/>
          <w:color w:val="8A7A6A"/>
          <w:sz w:val="18"/>
        </w:rPr>
        <w:t>Clause references checked against the LinkedIn User Agreement effective 3 November 2025. Check the live agreement before you quote a clause number to a client. This is a template, not legal advice, and it was not written by a lawyer in your jurisdiction. It is deliberately short and in plain English because a busy person will not read six pages of legal language, and a document they did not read is not doing its job. Have it checked before you use it on anything substantial, and change whatever your local law requires.</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