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right"/>
      </w:pPr>
      <w:r>
        <w:rPr>
          <w:rFonts w:ascii="Calibri" w:hAnsi="Calibri"/>
          <w:b/>
          <w:color w:val="FA8A11"/>
          <w:sz w:val="18"/>
        </w:rPr>
        <w:t>IDEASREPAY</w:t>
      </w:r>
    </w:p>
    <w:p>
      <w:pPr>
        <w:spacing w:after="120"/>
        <w:jc w:val="right"/>
      </w:pPr>
      <w:r>
        <w:rPr>
          <w:rFonts w:ascii="Calibri" w:hAnsi="Calibri"/>
          <w:color w:val="AAAAAA"/>
          <w:sz w:val="16"/>
        </w:rPr>
        <w:t>lgs-voice-capture-question-set</w:t>
      </w:r>
    </w:p>
    <w:p>
      <w:pPr>
        <w:spacing w:after="40"/>
      </w:pPr>
      <w:r>
        <w:rPr>
          <w:rFonts w:ascii="Georgia" w:hAnsi="Georgia"/>
          <w:b/>
          <w:color w:val="13100E"/>
          <w:sz w:val="48"/>
        </w:rPr>
        <w:t>The Voice Capture Question Set</w:t>
      </w:r>
    </w:p>
    <w:p>
      <w:pPr>
        <w:spacing w:after="200"/>
      </w:pPr>
      <w:r>
        <w:rPr>
          <w:rFonts w:ascii="Calibri" w:hAnsi="Calibri"/>
          <w:color w:val="8A7A6A"/>
          <w:sz w:val="22"/>
        </w:rPr>
        <w:t>The LinkedIn Ghostwriting Service - IdeasRepay Blueprint #05</w:t>
      </w:r>
    </w:p>
    <w:p>
      <w:pPr>
        <w:spacing w:after="200"/>
      </w:pPr>
      <w:r>
        <w:rPr>
          <w:rFonts w:ascii="Calibri" w:hAnsi="Calibri"/>
          <w:color w:val="2C2925"/>
          <w:sz w:val="22"/>
        </w:rPr>
        <w:t>Six questions, one follow-up, three rescues. This is the one-time intake the whole service runs on. You are capturing how one person thinks, once, properly, and everything you write for them afterwards is built out of what comes back.</w:t>
      </w:r>
    </w:p>
    <w:p>
      <w:pPr>
        <w:spacing w:before="120" w:after="160"/>
        <w:ind w:left="259"/>
      </w:pPr>
      <w:r>
        <w:rPr>
          <w:rFonts w:ascii="Calibri" w:hAnsi="Calibri"/>
          <w:b/>
          <w:color w:val="FA8A11"/>
          <w:sz w:val="22"/>
        </w:rPr>
        <w:t>This is not a monthly call. You run it once. The topic bank it produces carries the first two or three months on its own.</w:t>
      </w:r>
    </w:p>
    <w:p>
      <w:pPr>
        <w:spacing w:before="200" w:after="80"/>
      </w:pPr>
      <w:r>
        <w:rPr>
          <w:rFonts w:ascii="Georgia" w:hAnsi="Georgia"/>
          <w:b/>
          <w:color w:val="FA8A11"/>
          <w:sz w:val="28"/>
        </w:rPr>
        <w:t>What you are hunting for</w:t>
      </w:r>
    </w:p>
    <w:p>
      <w:pPr>
        <w:spacing w:after="60"/>
        <w:ind w:left="259"/>
      </w:pPr>
      <w:r>
        <w:rPr>
          <w:rFonts w:ascii="Calibri" w:hAnsi="Calibri"/>
          <w:color w:val="FA8A11"/>
          <w:sz w:val="22"/>
        </w:rPr>
        <w:t xml:space="preserve">-  </w:t>
      </w:r>
      <w:r>
        <w:rPr>
          <w:rFonts w:ascii="Calibri" w:hAnsi="Calibri"/>
          <w:color w:val="2C2925"/>
          <w:sz w:val="22"/>
        </w:rPr>
        <w:t>An opinion they hold that others in their category would argue with.</w:t>
      </w:r>
    </w:p>
    <w:p>
      <w:pPr>
        <w:spacing w:after="60"/>
        <w:ind w:left="259"/>
      </w:pPr>
      <w:r>
        <w:rPr>
          <w:rFonts w:ascii="Calibri" w:hAnsi="Calibri"/>
          <w:color w:val="FA8A11"/>
          <w:sz w:val="22"/>
        </w:rPr>
        <w:t xml:space="preserve">-  </w:t>
      </w:r>
      <w:r>
        <w:rPr>
          <w:rFonts w:ascii="Calibri" w:hAnsi="Calibri"/>
          <w:color w:val="2C2925"/>
          <w:sz w:val="22"/>
        </w:rPr>
        <w:t>Specific occasions, with numbers and dates attached.</w:t>
      </w:r>
    </w:p>
    <w:p>
      <w:pPr>
        <w:spacing w:after="60"/>
        <w:ind w:left="259"/>
      </w:pPr>
      <w:r>
        <w:rPr>
          <w:rFonts w:ascii="Calibri" w:hAnsi="Calibri"/>
          <w:color w:val="FA8A11"/>
          <w:sz w:val="22"/>
        </w:rPr>
        <w:t xml:space="preserve">-  </w:t>
      </w:r>
      <w:r>
        <w:rPr>
          <w:rFonts w:ascii="Calibri" w:hAnsi="Calibri"/>
          <w:color w:val="2C2925"/>
          <w:sz w:val="22"/>
        </w:rPr>
        <w:t>The way they actually say things, which is usually nothing like the way they write on their website.</w:t>
      </w:r>
    </w:p>
    <w:p>
      <w:pPr>
        <w:spacing w:after="120"/>
      </w:pPr>
      <w:r>
        <w:rPr>
          <w:rFonts w:ascii="Calibri" w:hAnsi="Calibri"/>
          <w:i w:val="0"/>
          <w:color w:val="2C2925"/>
          <w:sz w:val="22"/>
        </w:rPr>
        <w:t>Those three feed the four marks directly, which is why the intake decides whether the writing is possible at all.</w:t>
      </w:r>
    </w:p>
    <w:tbl>
      <w:tblPr>
        <w:tblStyle w:val="TableGrid"/>
        <w:tblW w:type="auto" w:w="0"/>
        <w:tblLayout w:type="fixed"/>
        <w:tblLook w:firstColumn="1" w:firstRow="1" w:lastColumn="0" w:lastRow="0" w:noHBand="0" w:noVBand="1" w:val="04A0"/>
      </w:tblPr>
      <w:tblGrid>
        <w:gridCol w:w="4819"/>
        <w:gridCol w:w="4819"/>
      </w:tblGrid>
      <w:tr>
        <w:tc>
          <w:tcPr>
            <w:tcW w:type="dxa" w:w="4320"/>
          </w:tcPr>
          <w:p>
            <w:r>
              <w:rPr>
                <w:rFonts w:ascii="Calibri" w:hAnsi="Calibri"/>
                <w:b/>
                <w:color w:val="FA8A11"/>
                <w:sz w:val="19"/>
              </w:rPr>
              <w:t>The four marks</w:t>
            </w:r>
          </w:p>
        </w:tc>
        <w:tc>
          <w:tcPr>
            <w:tcW w:type="dxa" w:w="5328"/>
          </w:tcPr>
          <w:p>
            <w:r>
              <w:rPr>
                <w:rFonts w:ascii="Calibri" w:hAnsi="Calibri"/>
                <w:b/>
                <w:color w:val="FA8A11"/>
                <w:sz w:val="19"/>
              </w:rPr>
              <w:t>What counts</w:t>
            </w:r>
          </w:p>
        </w:tc>
      </w:tr>
      <w:tr>
        <w:tc>
          <w:tcPr>
            <w:tcW w:type="dxa" w:w="4320"/>
          </w:tcPr>
          <w:p>
            <w:r>
              <w:rPr>
                <w:rFonts w:ascii="Calibri" w:hAnsi="Calibri"/>
                <w:color w:val="2C2925"/>
                <w:sz w:val="19"/>
              </w:rPr>
              <w:t>Mark 1 - a number from their own work</w:t>
            </w:r>
          </w:p>
        </w:tc>
        <w:tc>
          <w:tcPr>
            <w:tcW w:type="dxa" w:w="5328"/>
          </w:tcPr>
          <w:p>
            <w:r>
              <w:rPr>
                <w:rFonts w:ascii="Calibri" w:hAnsi="Calibri"/>
                <w:color w:val="2C2925"/>
                <w:sz w:val="19"/>
              </w:rPr>
              <w:t>Not a public statistic anybody could look up. A number that came out of something they did.</w:t>
            </w:r>
          </w:p>
        </w:tc>
      </w:tr>
      <w:tr>
        <w:tc>
          <w:tcPr>
            <w:tcW w:type="dxa" w:w="4320"/>
          </w:tcPr>
          <w:p>
            <w:r>
              <w:rPr>
                <w:rFonts w:ascii="Calibri" w:hAnsi="Calibri"/>
                <w:color w:val="2C2925"/>
                <w:sz w:val="19"/>
              </w:rPr>
              <w:t>Mark 2 - a specific occasion</w:t>
            </w:r>
          </w:p>
        </w:tc>
        <w:tc>
          <w:tcPr>
            <w:tcW w:type="dxa" w:w="5328"/>
          </w:tcPr>
          <w:p>
            <w:r>
              <w:rPr>
                <w:rFonts w:ascii="Calibri" w:hAnsi="Calibri"/>
                <w:color w:val="2C2925"/>
                <w:sz w:val="19"/>
              </w:rPr>
              <w:t>A named month, a particular client, a meeting that happened.</w:t>
            </w:r>
          </w:p>
        </w:tc>
      </w:tr>
      <w:tr>
        <w:tc>
          <w:tcPr>
            <w:tcW w:type="dxa" w:w="4320"/>
          </w:tcPr>
          <w:p>
            <w:r>
              <w:rPr>
                <w:rFonts w:ascii="Calibri" w:hAnsi="Calibri"/>
                <w:color w:val="2C2925"/>
                <w:sz w:val="19"/>
              </w:rPr>
              <w:t>Mark 3 - a decision somebody actually made</w:t>
            </w:r>
          </w:p>
        </w:tc>
        <w:tc>
          <w:tcPr>
            <w:tcW w:type="dxa" w:w="5328"/>
          </w:tcPr>
          <w:p>
            <w:r>
              <w:rPr>
                <w:rFonts w:ascii="Calibri" w:hAnsi="Calibri"/>
                <w:color w:val="2C2925"/>
                <w:sz w:val="19"/>
              </w:rPr>
              <w:t>We stopped doing this. I turned that down. We changed it in June.</w:t>
            </w:r>
          </w:p>
        </w:tc>
      </w:tr>
      <w:tr>
        <w:tc>
          <w:tcPr>
            <w:tcW w:type="dxa" w:w="4320"/>
          </w:tcPr>
          <w:p>
            <w:r>
              <w:rPr>
                <w:rFonts w:ascii="Calibri" w:hAnsi="Calibri"/>
                <w:color w:val="2C2925"/>
                <w:sz w:val="19"/>
              </w:rPr>
              <w:t>Mark 4 - something a reasonable person could disagree with</w:t>
            </w:r>
          </w:p>
        </w:tc>
        <w:tc>
          <w:tcPr>
            <w:tcW w:type="dxa" w:w="5328"/>
          </w:tcPr>
          <w:p>
            <w:r>
              <w:rPr>
                <w:rFonts w:ascii="Calibri" w:hAnsi="Calibri"/>
                <w:color w:val="2C2925"/>
                <w:sz w:val="19"/>
              </w:rPr>
              <w:t>If everybody already agrees, nothing was risked and nothing was said.</w:t>
            </w:r>
          </w:p>
        </w:tc>
      </w:tr>
    </w:tbl>
    <w:p>
      <w:pPr>
        <w:spacing w:after="120"/>
      </w:pPr>
    </w:p>
    <w:p>
      <w:pPr>
        <w:spacing w:before="200" w:after="80"/>
      </w:pPr>
      <w:r>
        <w:rPr>
          <w:rFonts w:ascii="Georgia" w:hAnsi="Georgia"/>
          <w:b/>
          <w:color w:val="FA8A11"/>
          <w:sz w:val="28"/>
        </w:rPr>
        <w:t>Two routes, and how to choose</w:t>
      </w:r>
    </w:p>
    <w:p>
      <w:pPr>
        <w:spacing w:after="120"/>
      </w:pPr>
      <w:r>
        <w:rPr>
          <w:rFonts w:ascii="Calibri" w:hAnsi="Calibri"/>
          <w:i w:val="0"/>
          <w:color w:val="2C2925"/>
          <w:sz w:val="22"/>
        </w:rPr>
        <w:t>Route one is a single conversation of about forty five minutes. It is the faster of the two and it gets you more, because you can follow a thread the moment it appears.</w:t>
      </w:r>
    </w:p>
    <w:p>
      <w:pPr>
        <w:spacing w:after="120"/>
      </w:pPr>
      <w:r>
        <w:rPr>
          <w:rFonts w:ascii="Calibri" w:hAnsi="Calibri"/>
          <w:i w:val="0"/>
          <w:color w:val="2C2925"/>
          <w:sz w:val="22"/>
        </w:rPr>
        <w:t>Route two is for the client who will not give you forty five minutes, and a good number of them will not. You read what they have already written, and they answer the same six questions in writing, in their own time. That route has its own document: The Client Questionnaire.</w:t>
      </w:r>
    </w:p>
    <w:p>
      <w:pPr>
        <w:spacing w:before="120" w:after="160"/>
        <w:ind w:left="259"/>
      </w:pPr>
      <w:r>
        <w:rPr>
          <w:rFonts w:ascii="Calibri" w:hAnsi="Calibri"/>
          <w:b/>
          <w:color w:val="FA8A11"/>
          <w:sz w:val="22"/>
        </w:rPr>
        <w:t>Ask for the call. Accept the questionnaire.</w:t>
      </w:r>
    </w:p>
    <w:p>
      <w:pPr>
        <w:spacing w:after="120"/>
      </w:pPr>
      <w:r>
        <w:rPr>
          <w:rFonts w:ascii="Calibri" w:hAnsi="Calibri"/>
          <w:i w:val="0"/>
          <w:color w:val="2C2925"/>
          <w:sz w:val="22"/>
        </w:rPr>
        <w:t>If the answer is no, or if it keeps being rescheduled, move to route two without making it a problem, because a client who feels difficult in week one behaves like a difficult client in month three.</w:t>
      </w:r>
    </w:p>
    <w:p>
      <w:pPr>
        <w:spacing w:before="200" w:after="80"/>
      </w:pPr>
      <w:r>
        <w:rPr>
          <w:rFonts w:ascii="Georgia" w:hAnsi="Georgia"/>
          <w:b/>
          <w:color w:val="FA8A11"/>
          <w:sz w:val="28"/>
        </w:rPr>
        <w:t>Booking it</w:t>
      </w:r>
    </w:p>
    <w:p>
      <w:pPr>
        <w:spacing w:after="60"/>
        <w:ind w:left="259"/>
      </w:pPr>
      <w:r>
        <w:rPr>
          <w:rFonts w:ascii="Calibri" w:hAnsi="Calibri"/>
          <w:color w:val="FA8A11"/>
          <w:sz w:val="22"/>
        </w:rPr>
        <w:t xml:space="preserve">-  </w:t>
      </w:r>
      <w:r>
        <w:rPr>
          <w:rFonts w:ascii="Calibri" w:hAnsi="Calibri"/>
          <w:color w:val="2C2925"/>
          <w:sz w:val="22"/>
        </w:rPr>
        <w:t>Book forty five minutes.</w:t>
      </w:r>
    </w:p>
    <w:p>
      <w:pPr>
        <w:spacing w:after="60"/>
        <w:ind w:left="259"/>
      </w:pPr>
      <w:r>
        <w:rPr>
          <w:rFonts w:ascii="Calibri" w:hAnsi="Calibri"/>
          <w:color w:val="FA8A11"/>
          <w:sz w:val="22"/>
        </w:rPr>
        <w:t xml:space="preserve">-  </w:t>
      </w:r>
      <w:r>
        <w:rPr>
          <w:rFonts w:ascii="Calibri" w:hAnsi="Calibri"/>
          <w:color w:val="2C2925"/>
          <w:sz w:val="22"/>
        </w:rPr>
        <w:t>Tell them in the invite that they do not need to prepare anything. A client who prepares arrives with a script, and the script is made of the language you are trying to get underneath.</w:t>
      </w:r>
    </w:p>
    <w:p>
      <w:pPr>
        <w:spacing w:after="60"/>
        <w:ind w:left="259"/>
      </w:pPr>
      <w:r>
        <w:rPr>
          <w:rFonts w:ascii="Calibri" w:hAnsi="Calibri"/>
          <w:color w:val="FA8A11"/>
          <w:sz w:val="22"/>
        </w:rPr>
        <w:t xml:space="preserve">-  </w:t>
      </w:r>
      <w:r>
        <w:rPr>
          <w:rFonts w:ascii="Calibri" w:hAnsi="Calibri"/>
          <w:color w:val="2C2925"/>
          <w:sz w:val="22"/>
        </w:rPr>
        <w:t>Ask permission to record in the invite rather than on the call, so it is settled before you start. You need the transcript, and more than that you need their exact words.</w:t>
      </w:r>
    </w:p>
    <w:p>
      <w:pPr>
        <w:spacing w:after="60"/>
        <w:ind w:left="259"/>
      </w:pPr>
      <w:r>
        <w:rPr>
          <w:rFonts w:ascii="Calibri" w:hAnsi="Calibri"/>
          <w:color w:val="FA8A11"/>
          <w:sz w:val="22"/>
        </w:rPr>
        <w:t xml:space="preserve">-  </w:t>
      </w:r>
      <w:r>
        <w:rPr>
          <w:rFonts w:ascii="Calibri" w:hAnsi="Calibri"/>
          <w:color w:val="2C2925"/>
          <w:sz w:val="22"/>
        </w:rPr>
        <w:t>Nothing needs buying. Every major video call tool records and produces a transcript on its free tier, and if you are in the same room, a phone voice recorder and a free transcription tool do the same job.</w:t>
      </w:r>
    </w:p>
    <w:p>
      <w:pPr>
        <w:spacing w:before="160" w:after="40"/>
      </w:pPr>
      <w:r>
        <w:rPr>
          <w:rFonts w:ascii="Calibri" w:hAnsi="Calibri"/>
          <w:b/>
          <w:color w:val="13100E"/>
          <w:sz w:val="23"/>
        </w:rPr>
        <w:t>The invite, written out</w:t>
      </w:r>
    </w:p>
    <w:p>
      <w:pPr>
        <w:spacing w:after="0"/>
        <w:ind w:left="259"/>
      </w:pPr>
      <w:r>
        <w:rPr>
          <w:rFonts w:ascii="Consolas" w:hAnsi="Consolas"/>
          <w:color w:val="2C2925"/>
          <w:sz w:val="20"/>
        </w:rPr>
        <w:t>Subject: 45 minutes, and you do not need to prepare anything</w:t>
      </w:r>
    </w:p>
    <w:p>
      <w:pPr>
        <w:spacing w:after="0"/>
        <w:ind w:left="259"/>
      </w:pPr>
      <w:r>
        <w:rPr>
          <w:rFonts w:ascii="Consolas" w:hAnsi="Consolas"/>
          <w:color w:val="2C2925"/>
          <w:sz w:val="20"/>
        </w:rPr>
        <w:t xml:space="preserve"> </w:t>
      </w:r>
    </w:p>
    <w:p>
      <w:pPr>
        <w:spacing w:after="0"/>
        <w:ind w:left="259"/>
      </w:pPr>
      <w:r>
        <w:rPr>
          <w:rFonts w:ascii="Consolas" w:hAnsi="Consolas"/>
          <w:color w:val="2C2925"/>
          <w:sz w:val="20"/>
        </w:rPr>
        <w:t>I am going to ask you six questions about your own work and then</w:t>
      </w:r>
    </w:p>
    <w:p>
      <w:pPr>
        <w:spacing w:after="0"/>
        <w:ind w:left="259"/>
      </w:pPr>
      <w:r>
        <w:rPr>
          <w:rFonts w:ascii="Consolas" w:hAnsi="Consolas"/>
          <w:color w:val="2C2925"/>
          <w:sz w:val="20"/>
        </w:rPr>
        <w:t>mostly listen. There is nothing to read beforehand and nothing to</w:t>
      </w:r>
    </w:p>
    <w:p>
      <w:pPr>
        <w:spacing w:after="0"/>
        <w:ind w:left="259"/>
      </w:pPr>
      <w:r>
        <w:rPr>
          <w:rFonts w:ascii="Consolas" w:hAnsi="Consolas"/>
          <w:color w:val="2C2925"/>
          <w:sz w:val="20"/>
        </w:rPr>
        <w:t>bring. I would like to record it so I can work from your exact</w:t>
      </w:r>
    </w:p>
    <w:p>
      <w:pPr>
        <w:spacing w:after="0"/>
        <w:ind w:left="259"/>
      </w:pPr>
      <w:r>
        <w:rPr>
          <w:rFonts w:ascii="Consolas" w:hAnsi="Consolas"/>
          <w:color w:val="2C2925"/>
          <w:sz w:val="20"/>
        </w:rPr>
        <w:t>words rather than from my notes. Let me know if that is a problem</w:t>
      </w:r>
    </w:p>
    <w:p>
      <w:pPr>
        <w:spacing w:after="160"/>
        <w:ind w:left="259"/>
      </w:pPr>
      <w:r>
        <w:rPr>
          <w:rFonts w:ascii="Consolas" w:hAnsi="Consolas"/>
          <w:color w:val="2C2925"/>
          <w:sz w:val="20"/>
        </w:rPr>
        <w:t>and I will take notes instead.</w:t>
      </w:r>
    </w:p>
    <w:p>
      <w:pPr>
        <w:spacing w:before="120" w:after="160"/>
        <w:ind w:left="259"/>
      </w:pPr>
      <w:r>
        <w:rPr>
          <w:rFonts w:ascii="Calibri" w:hAnsi="Calibri"/>
          <w:b/>
          <w:color w:val="FA8A11"/>
          <w:sz w:val="22"/>
        </w:rPr>
        <w:t>You are not taking notes. You are listening.</w:t>
      </w:r>
    </w:p>
    <w:p>
      <w:pPr>
        <w:spacing w:after="120"/>
      </w:pPr>
      <w:r>
        <w:rPr>
          <w:rFonts w:ascii="Calibri" w:hAnsi="Calibri"/>
          <w:i w:val="0"/>
          <w:color w:val="2C2925"/>
          <w:sz w:val="22"/>
        </w:rPr>
        <w:t>You have the recording. If you are typing you are not hearing the throwaway line that the next question should be about.</w:t>
      </w:r>
    </w:p>
    <w:p>
      <w:pPr>
        <w:spacing w:before="200" w:after="80"/>
      </w:pPr>
      <w:r>
        <w:rPr>
          <w:rFonts w:ascii="Georgia" w:hAnsi="Georgia"/>
          <w:b/>
          <w:color w:val="FA8A11"/>
          <w:sz w:val="28"/>
        </w:rPr>
        <w:t>The six questions</w:t>
      </w:r>
    </w:p>
    <w:p>
      <w:pPr>
        <w:spacing w:after="120"/>
      </w:pPr>
      <w:r>
        <w:rPr>
          <w:rFonts w:ascii="Calibri" w:hAnsi="Calibri"/>
          <w:i w:val="0"/>
          <w:color w:val="2C2925"/>
          <w:sz w:val="22"/>
        </w:rPr>
        <w:t>Ask them in this order. The order matters less than the follow-up does.</w:t>
      </w:r>
    </w:p>
    <w:p>
      <w:pPr>
        <w:spacing w:before="160" w:after="40"/>
      </w:pPr>
      <w:r>
        <w:rPr>
          <w:rFonts w:ascii="Calibri" w:hAnsi="Calibri"/>
          <w:b/>
          <w:color w:val="13100E"/>
          <w:sz w:val="23"/>
        </w:rPr>
        <w:t>1.  What is something people in your category believe that you think is wrong.</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160" w:after="40"/>
      </w:pPr>
      <w:r>
        <w:rPr>
          <w:rFonts w:ascii="Calibri" w:hAnsi="Calibri"/>
          <w:b/>
          <w:color w:val="13100E"/>
          <w:sz w:val="23"/>
        </w:rPr>
        <w:t>2.  Tell me about a client situation from the last ninety days that you are still thinking about.</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160" w:after="40"/>
      </w:pPr>
      <w:r>
        <w:rPr>
          <w:rFonts w:ascii="Calibri" w:hAnsi="Calibri"/>
          <w:b/>
          <w:color w:val="13100E"/>
          <w:sz w:val="23"/>
        </w:rPr>
        <w:t>3.  What do people come to you with, and what is usually wrong underneath it.</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160" w:after="40"/>
      </w:pPr>
      <w:r>
        <w:rPr>
          <w:rFonts w:ascii="Calibri" w:hAnsi="Calibri"/>
          <w:b/>
          <w:color w:val="13100E"/>
          <w:sz w:val="23"/>
        </w:rPr>
        <w:t>4.  What is the most expensive mistake you see, and roughly what does it cost.</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160" w:after="40"/>
      </w:pPr>
      <w:r>
        <w:rPr>
          <w:rFonts w:ascii="Calibri" w:hAnsi="Calibri"/>
          <w:b/>
          <w:color w:val="13100E"/>
          <w:sz w:val="23"/>
        </w:rPr>
        <w:t>5.  What did you believe five years ago that you have changed your mind about.</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160" w:after="40"/>
      </w:pPr>
      <w:r>
        <w:rPr>
          <w:rFonts w:ascii="Calibri" w:hAnsi="Calibri"/>
          <w:b/>
          <w:color w:val="13100E"/>
          <w:sz w:val="23"/>
        </w:rPr>
        <w:t>6.  What is a question you are asked so often that you are tired of answering it.</w:t>
      </w:r>
    </w:p>
    <w:p>
      <w:pPr>
        <w:spacing w:after="80"/>
      </w:pPr>
      <w:r>
        <w:rPr>
          <w:rFonts w:ascii="Calibri" w:hAnsi="Calibri"/>
          <w:color w:val="AAAAAA"/>
          <w:sz w:val="22"/>
        </w:rPr>
        <w:t>______________________________________________________________________</w:t>
      </w:r>
    </w:p>
    <w:p>
      <w:pPr>
        <w:spacing w:after="80"/>
      </w:pPr>
      <w:r>
        <w:rPr>
          <w:rFonts w:ascii="Calibri" w:hAnsi="Calibri"/>
          <w:color w:val="AAAAAA"/>
          <w:sz w:val="22"/>
        </w:rPr>
        <w:t>______________________________________________________________________</w:t>
      </w:r>
    </w:p>
    <w:p>
      <w:pPr>
        <w:spacing w:before="120" w:after="160"/>
        <w:ind w:left="259"/>
      </w:pPr>
      <w:r>
        <w:rPr>
          <w:rFonts w:ascii="Calibri" w:hAnsi="Calibri"/>
          <w:b/>
          <w:color w:val="FA8A11"/>
          <w:sz w:val="22"/>
        </w:rPr>
        <w:t>And on every answer, the same six words: can you give me an example.</w:t>
      </w:r>
    </w:p>
    <w:p>
      <w:pPr>
        <w:spacing w:after="120"/>
      </w:pPr>
      <w:r>
        <w:rPr>
          <w:rFonts w:ascii="Calibri" w:hAnsi="Calibri"/>
          <w:i w:val="0"/>
          <w:color w:val="2C2925"/>
          <w:sz w:val="22"/>
        </w:rPr>
        <w:t>The first answer is almost always a summary, and the example underneath it is almost always the post.</w:t>
      </w:r>
    </w:p>
    <w:p>
      <w:pPr>
        <w:spacing w:before="200" w:after="80"/>
      </w:pPr>
      <w:r>
        <w:rPr>
          <w:rFonts w:ascii="Georgia" w:hAnsi="Georgia"/>
          <w:b/>
          <w:color w:val="FA8A11"/>
          <w:sz w:val="28"/>
        </w:rPr>
        <w:t>When you get nothing back</w:t>
      </w:r>
    </w:p>
    <w:p>
      <w:pPr>
        <w:spacing w:after="120"/>
      </w:pPr>
      <w:r>
        <w:rPr>
          <w:rFonts w:ascii="Calibri" w:hAnsi="Calibri"/>
          <w:i w:val="0"/>
          <w:color w:val="2C2925"/>
          <w:sz w:val="22"/>
        </w:rPr>
        <w:t>Roughly a third of the time you will get the sentence they say at networking events. It is on their website and it scores zero. It is not their fault. It is what anybody reaches for when a question is pointed at them.</w:t>
      </w:r>
    </w:p>
    <w:p>
      <w:pPr>
        <w:spacing w:after="120"/>
      </w:pPr>
      <w:r>
        <w:rPr>
          <w:rFonts w:ascii="Calibri" w:hAnsi="Calibri"/>
          <w:i w:val="0"/>
          <w:color w:val="2C2925"/>
          <w:sz w:val="22"/>
        </w:rPr>
        <w:t>Do not accept it, and do not ask the same question again more slowly. Go smaller, because the general lives at the top and everything usable is underneath it.</w:t>
      </w:r>
    </w:p>
    <w:p>
      <w:pPr>
        <w:spacing w:before="160" w:after="40"/>
      </w:pPr>
      <w:r>
        <w:rPr>
          <w:rFonts w:ascii="Calibri" w:hAnsi="Calibri"/>
          <w:b/>
          <w:color w:val="13100E"/>
          <w:sz w:val="23"/>
        </w:rPr>
        <w:t>The three rescue questions</w:t>
      </w:r>
    </w:p>
    <w:p>
      <w:pPr>
        <w:spacing w:after="60"/>
        <w:ind w:left="259"/>
      </w:pPr>
      <w:r>
        <w:rPr>
          <w:rFonts w:ascii="Calibri" w:hAnsi="Calibri"/>
          <w:color w:val="FA8A11"/>
          <w:sz w:val="22"/>
        </w:rPr>
        <w:t xml:space="preserve">-  </w:t>
      </w:r>
      <w:r>
        <w:rPr>
          <w:rFonts w:ascii="Calibri" w:hAnsi="Calibri"/>
          <w:color w:val="2C2925"/>
          <w:sz w:val="22"/>
        </w:rPr>
        <w:t>What did you do on Tuesday.</w:t>
      </w:r>
    </w:p>
    <w:p>
      <w:pPr>
        <w:spacing w:after="60"/>
        <w:ind w:left="259"/>
      </w:pPr>
      <w:r>
        <w:rPr>
          <w:rFonts w:ascii="Calibri" w:hAnsi="Calibri"/>
          <w:color w:val="FA8A11"/>
          <w:sz w:val="22"/>
        </w:rPr>
        <w:t xml:space="preserve">-  </w:t>
      </w:r>
      <w:r>
        <w:rPr>
          <w:rFonts w:ascii="Calibri" w:hAnsi="Calibri"/>
          <w:color w:val="2C2925"/>
          <w:sz w:val="22"/>
        </w:rPr>
        <w:t>Who was the last person you said no to, and why.</w:t>
      </w:r>
    </w:p>
    <w:p>
      <w:pPr>
        <w:spacing w:after="60"/>
        <w:ind w:left="259"/>
      </w:pPr>
      <w:r>
        <w:rPr>
          <w:rFonts w:ascii="Calibri" w:hAnsi="Calibri"/>
          <w:color w:val="FA8A11"/>
          <w:sz w:val="22"/>
        </w:rPr>
        <w:t xml:space="preserve">-  </w:t>
      </w:r>
      <w:r>
        <w:rPr>
          <w:rFonts w:ascii="Calibri" w:hAnsi="Calibri"/>
          <w:color w:val="2C2925"/>
          <w:sz w:val="22"/>
        </w:rPr>
        <w:t>What is the thing you had to explain twice last week.</w:t>
      </w:r>
    </w:p>
    <w:p>
      <w:pPr>
        <w:spacing w:before="200" w:after="80"/>
      </w:pPr>
      <w:r>
        <w:rPr>
          <w:rFonts w:ascii="Georgia" w:hAnsi="Georgia"/>
          <w:b/>
          <w:color w:val="FA8A11"/>
          <w:sz w:val="28"/>
        </w:rPr>
        <w:t>The rule underneath all of it</w:t>
      </w:r>
    </w:p>
    <w:p>
      <w:pPr>
        <w:spacing w:before="120" w:after="160"/>
        <w:ind w:left="259"/>
      </w:pPr>
      <w:r>
        <w:rPr>
          <w:rFonts w:ascii="Calibri" w:hAnsi="Calibri"/>
          <w:b/>
          <w:color w:val="FA8A11"/>
          <w:sz w:val="22"/>
        </w:rPr>
        <w:t>The first answer is a summary. The second is a story. The third is the one with the number in it.</w:t>
      </w:r>
    </w:p>
    <w:p>
      <w:pPr>
        <w:spacing w:after="120"/>
      </w:pPr>
      <w:r>
        <w:rPr>
          <w:rFonts w:ascii="Calibri" w:hAnsi="Calibri"/>
          <w:i w:val="0"/>
          <w:color w:val="2C2925"/>
          <w:sz w:val="22"/>
        </w:rPr>
        <w:t>Most intakes stop at the first, which is why the posts that come out of them read like everybody else's. You keep going until the third, and you get there by asking for an example and then asking what happened next.</w:t>
      </w:r>
    </w:p>
    <w:p>
      <w:pPr>
        <w:spacing w:before="200" w:after="80"/>
      </w:pPr>
      <w:r>
        <w:rPr>
          <w:rFonts w:ascii="Georgia" w:hAnsi="Georgia"/>
          <w:b/>
          <w:color w:val="FA8A11"/>
          <w:sz w:val="28"/>
        </w:rPr>
        <w:t>What you leave with</w:t>
      </w:r>
    </w:p>
    <w:p>
      <w:pPr>
        <w:spacing w:after="60"/>
        <w:ind w:left="259"/>
      </w:pPr>
      <w:r>
        <w:rPr>
          <w:rFonts w:ascii="Consolas" w:hAnsi="Consolas"/>
          <w:color w:val="FA8A11"/>
          <w:sz w:val="22"/>
        </w:rPr>
        <w:t xml:space="preserve">[  ]  </w:t>
      </w:r>
      <w:r>
        <w:rPr>
          <w:rFonts w:ascii="Calibri" w:hAnsi="Calibri"/>
          <w:color w:val="2C2925"/>
          <w:sz w:val="22"/>
        </w:rPr>
        <w:t>A recording and a transcript, untidied.</w:t>
      </w:r>
    </w:p>
    <w:p>
      <w:pPr>
        <w:spacing w:after="60"/>
        <w:ind w:left="259"/>
      </w:pPr>
      <w:r>
        <w:rPr>
          <w:rFonts w:ascii="Consolas" w:hAnsi="Consolas"/>
          <w:color w:val="FA8A11"/>
          <w:sz w:val="22"/>
        </w:rPr>
        <w:t xml:space="preserve">[  ]  </w:t>
      </w:r>
      <w:r>
        <w:rPr>
          <w:rFonts w:ascii="Calibri" w:hAnsi="Calibri"/>
          <w:color w:val="2C2925"/>
          <w:sz w:val="22"/>
        </w:rPr>
        <w:t>Somewhere between eight and fifteen marked moments.</w:t>
      </w:r>
    </w:p>
    <w:p>
      <w:pPr>
        <w:spacing w:after="60"/>
        <w:ind w:left="259"/>
      </w:pPr>
      <w:r>
        <w:rPr>
          <w:rFonts w:ascii="Consolas" w:hAnsi="Consolas"/>
          <w:color w:val="FA8A11"/>
          <w:sz w:val="22"/>
        </w:rPr>
        <w:t xml:space="preserve">[  ]  </w:t>
      </w:r>
      <w:r>
        <w:rPr>
          <w:rFonts w:ascii="Calibri" w:hAnsi="Calibri"/>
          <w:color w:val="2C2925"/>
          <w:sz w:val="22"/>
        </w:rPr>
        <w:t>Every marked moment written out as the sentence they actually said, not as a topic.</w:t>
      </w:r>
    </w:p>
    <w:p>
      <w:pPr>
        <w:spacing w:after="120"/>
      </w:pPr>
      <w:r>
        <w:rPr>
          <w:rFonts w:ascii="Calibri" w:hAnsi="Calibri"/>
          <w:i w:val="0"/>
          <w:color w:val="2C2925"/>
          <w:sz w:val="22"/>
        </w:rPr>
        <w:t>A marked moment is a sentence they actually said that scores at least two of the four marks. A topic is not a marked moment.</w:t>
      </w:r>
    </w:p>
    <w:p>
      <w:pPr>
        <w:spacing w:before="120" w:after="160"/>
        <w:ind w:left="259"/>
      </w:pPr>
      <w:r>
        <w:rPr>
          <w:rFonts w:ascii="Calibri" w:hAnsi="Calibri"/>
          <w:b/>
          <w:color w:val="FA8A11"/>
          <w:sz w:val="22"/>
        </w:rPr>
        <w:t>Do not tidy the transcript, do not summarise it, and do not correct their grammar.</w:t>
      </w:r>
    </w:p>
    <w:p>
      <w:pPr>
        <w:spacing w:after="120"/>
      </w:pPr>
      <w:r>
        <w:rPr>
          <w:rFonts w:ascii="Calibri" w:hAnsi="Calibri"/>
          <w:i w:val="0"/>
          <w:color w:val="2C2925"/>
          <w:sz w:val="22"/>
        </w:rPr>
        <w:t>The half finished sentence where they interrupted themselves is the voice, and you will need those exact words tomorrow.</w:t>
      </w:r>
    </w:p>
    <w:p>
      <w:pPr>
        <w:spacing w:before="200" w:after="80"/>
      </w:pPr>
      <w:r>
        <w:rPr>
          <w:rFonts w:ascii="Georgia" w:hAnsi="Georgia"/>
          <w:b/>
          <w:color w:val="FA8A11"/>
          <w:sz w:val="28"/>
        </w:rPr>
        <w:t>If there is nobody to interview</w:t>
      </w:r>
    </w:p>
    <w:p>
      <w:pPr>
        <w:spacing w:after="120"/>
      </w:pPr>
      <w:r>
        <w:rPr>
          <w:rFonts w:ascii="Calibri" w:hAnsi="Calibri"/>
          <w:i w:val="0"/>
          <w:color w:val="2C2925"/>
          <w:sz w:val="22"/>
        </w:rPr>
        <w:t>You do not have a paying client yet, so the first intake is run on somebody you already know who has real expertise in what they do. A former colleague, somebody who runs a business, a friend a few years into work you do not understand. It takes them forty five minutes and costs them nothing, and very few people say no to being asked about their own work by somebody who is genuinely listening.</w:t>
      </w:r>
    </w:p>
    <w:p>
      <w:pPr>
        <w:spacing w:after="120"/>
      </w:pPr>
      <w:r>
        <w:rPr>
          <w:rFonts w:ascii="Calibri" w:hAnsi="Calibri"/>
          <w:i w:val="0"/>
          <w:color w:val="2C2925"/>
          <w:sz w:val="22"/>
        </w:rPr>
        <w:t>If there is genuinely nobody, work through The Practice Intake with this question set open beside you. It is a full conversation written out exactly as one runs.</w:t>
      </w:r>
    </w:p>
    <w:p>
      <w:pPr>
        <w:spacing w:after="120"/>
      </w:pPr>
      <w:r>
        <w:rPr>
          <w:rFonts w:ascii="Calibri" w:hAnsi="Calibri"/>
          <w:i w:val="0"/>
          <w:color w:val="2C2925"/>
          <w:sz w:val="22"/>
        </w:rPr>
        <w:t>Either way, what comes out of this is not practice you throw away. It becomes the batch you write next, and that batch is the only work sample you have when you send your first message.</w:t>
      </w:r>
    </w:p>
    <w:p>
      <w:pPr>
        <w:spacing w:before="240"/>
      </w:pPr>
      <w:r>
        <w:rPr>
          <w:rFonts w:ascii="Calibri" w:hAnsi="Calibri"/>
          <w:i/>
          <w:color w:val="8A7A6A"/>
          <w:sz w:val="18"/>
        </w:rPr>
        <w:t>Next: turn what came back into a voice brief, and get it corrected. That document is The Voice Brief Template.</w:t>
      </w:r>
    </w:p>
    <w:sectPr w:rsidR="00FC693F" w:rsidRPr="0006063C" w:rsidSect="0003461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C292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